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7C5" w:rsidRDefault="006357C5">
      <w:bookmarkStart w:id="0" w:name="_Toc327186204"/>
      <w:bookmarkStart w:id="1" w:name="_Toc328573828"/>
      <w:bookmarkStart w:id="2" w:name="_GoBack"/>
      <w:bookmarkEnd w:id="2"/>
    </w:p>
    <w:p w:rsidR="006357C5" w:rsidRDefault="006357C5"/>
    <w:tbl>
      <w:tblPr>
        <w:tblpPr w:leftFromText="187" w:rightFromText="187" w:vertAnchor="page" w:horzAnchor="page" w:tblpXSpec="center" w:tblpYSpec="center"/>
        <w:tblW w:w="5000" w:type="pct"/>
        <w:tblCellMar>
          <w:top w:w="216" w:type="dxa"/>
          <w:left w:w="216" w:type="dxa"/>
          <w:bottom w:w="216" w:type="dxa"/>
          <w:right w:w="216" w:type="dxa"/>
        </w:tblCellMar>
        <w:tblLook w:val="00A0" w:firstRow="1" w:lastRow="0" w:firstColumn="1" w:lastColumn="0" w:noHBand="0" w:noVBand="0"/>
      </w:tblPr>
      <w:tblGrid>
        <w:gridCol w:w="4488"/>
        <w:gridCol w:w="2991"/>
        <w:gridCol w:w="2313"/>
      </w:tblGrid>
      <w:tr w:rsidR="006357C5" w:rsidRPr="00DC71B4" w:rsidTr="002554CF">
        <w:trPr>
          <w:trHeight w:val="6715"/>
        </w:trPr>
        <w:tc>
          <w:tcPr>
            <w:tcW w:w="3525" w:type="dxa"/>
            <w:tcBorders>
              <w:bottom w:val="single" w:sz="18" w:space="0" w:color="808080"/>
              <w:right w:val="single" w:sz="18" w:space="0" w:color="808080"/>
            </w:tcBorders>
            <w:vAlign w:val="center"/>
          </w:tcPr>
          <w:p w:rsidR="006357C5" w:rsidRPr="00DF0CD6" w:rsidRDefault="006357C5" w:rsidP="002554CF">
            <w:pPr>
              <w:pStyle w:val="NoSpacing"/>
              <w:rPr>
                <w:rFonts w:ascii="Cambria" w:hAnsi="Cambria"/>
                <w:sz w:val="76"/>
                <w:szCs w:val="72"/>
              </w:rPr>
            </w:pPr>
            <w:r w:rsidRPr="006357C5">
              <w:rPr>
                <w:rFonts w:ascii="Cambria" w:hAnsi="Cambria"/>
                <w:color w:val="4F81BD"/>
                <w:sz w:val="72"/>
                <w:szCs w:val="72"/>
              </w:rPr>
              <w:t>Public Funding of Tertiary Education: International Context and Case Studies</w:t>
            </w:r>
          </w:p>
        </w:tc>
        <w:tc>
          <w:tcPr>
            <w:tcW w:w="6267" w:type="dxa"/>
            <w:gridSpan w:val="2"/>
            <w:tcBorders>
              <w:left w:val="single" w:sz="18" w:space="0" w:color="808080"/>
              <w:bottom w:val="single" w:sz="18" w:space="0" w:color="808080"/>
            </w:tcBorders>
            <w:vAlign w:val="center"/>
          </w:tcPr>
          <w:p w:rsidR="006357C5" w:rsidRPr="00DF0CD6" w:rsidRDefault="006357C5" w:rsidP="002554CF">
            <w:pPr>
              <w:pStyle w:val="NoSpacing"/>
              <w:rPr>
                <w:rFonts w:ascii="Cambria" w:hAnsi="Cambria"/>
                <w:sz w:val="36"/>
                <w:szCs w:val="36"/>
              </w:rPr>
            </w:pPr>
            <w:r>
              <w:rPr>
                <w:rFonts w:ascii="Cambria" w:hAnsi="Cambria"/>
                <w:sz w:val="36"/>
                <w:szCs w:val="36"/>
              </w:rPr>
              <w:t>June 29</w:t>
            </w:r>
          </w:p>
          <w:p w:rsidR="006357C5" w:rsidRPr="00DC71B4" w:rsidRDefault="006357C5" w:rsidP="002554CF">
            <w:pPr>
              <w:pStyle w:val="NoSpacing"/>
              <w:rPr>
                <w:color w:val="4F81BD"/>
                <w:sz w:val="200"/>
                <w:szCs w:val="200"/>
              </w:rPr>
            </w:pPr>
            <w:r w:rsidRPr="00DC71B4">
              <w:rPr>
                <w:color w:val="17365D"/>
                <w:sz w:val="144"/>
                <w:szCs w:val="144"/>
              </w:rPr>
              <w:t>2012</w:t>
            </w:r>
          </w:p>
        </w:tc>
      </w:tr>
      <w:tr w:rsidR="006357C5" w:rsidRPr="00DC71B4" w:rsidTr="002554CF">
        <w:tc>
          <w:tcPr>
            <w:tcW w:w="7054" w:type="dxa"/>
            <w:gridSpan w:val="2"/>
            <w:tcBorders>
              <w:top w:val="single" w:sz="18" w:space="0" w:color="808080"/>
            </w:tcBorders>
            <w:vAlign w:val="center"/>
          </w:tcPr>
          <w:p w:rsidR="006357C5" w:rsidRPr="00DC71B4" w:rsidRDefault="006357C5" w:rsidP="002554CF">
            <w:pPr>
              <w:pStyle w:val="NoSpacing"/>
            </w:pPr>
            <w:r w:rsidRPr="00DC71B4">
              <w:t>By: Education Sector, Latin American &amp; Caribbean Region, The World Bank</w:t>
            </w:r>
          </w:p>
        </w:tc>
        <w:tc>
          <w:tcPr>
            <w:tcW w:w="2738" w:type="dxa"/>
            <w:tcBorders>
              <w:top w:val="single" w:sz="18" w:space="0" w:color="808080"/>
            </w:tcBorders>
            <w:vAlign w:val="center"/>
          </w:tcPr>
          <w:p w:rsidR="006357C5" w:rsidRPr="00DF0CD6" w:rsidRDefault="006357C5" w:rsidP="002554CF">
            <w:pPr>
              <w:pStyle w:val="NoSpacing"/>
              <w:rPr>
                <w:rFonts w:ascii="Cambria" w:hAnsi="Cambria"/>
                <w:sz w:val="36"/>
                <w:szCs w:val="36"/>
              </w:rPr>
            </w:pPr>
          </w:p>
        </w:tc>
      </w:tr>
    </w:tbl>
    <w:p w:rsidR="006357C5" w:rsidRDefault="006357C5">
      <w:pPr>
        <w:rPr>
          <w:rFonts w:ascii="Cambria" w:eastAsia="Times New Roman" w:hAnsi="Cambria" w:cs="Times New Roman"/>
          <w:b/>
          <w:bCs/>
          <w:color w:val="365F91"/>
          <w:sz w:val="28"/>
          <w:szCs w:val="28"/>
        </w:rPr>
      </w:pPr>
      <w:r>
        <w:br w:type="page"/>
      </w:r>
    </w:p>
    <w:p w:rsidR="006357C5" w:rsidRDefault="006357C5">
      <w:pPr>
        <w:pStyle w:val="TOCHeading"/>
      </w:pPr>
    </w:p>
    <w:sdt>
      <w:sdtPr>
        <w:rPr>
          <w:rFonts w:ascii="Arial" w:eastAsia="Calibri" w:hAnsi="Arial" w:cs="Arial"/>
          <w:b w:val="0"/>
          <w:bCs w:val="0"/>
          <w:color w:val="auto"/>
          <w:sz w:val="22"/>
          <w:szCs w:val="22"/>
        </w:rPr>
        <w:id w:val="-1361204825"/>
        <w:docPartObj>
          <w:docPartGallery w:val="Table of Contents"/>
          <w:docPartUnique/>
        </w:docPartObj>
      </w:sdtPr>
      <w:sdtEndPr>
        <w:rPr>
          <w:noProof/>
        </w:rPr>
      </w:sdtEndPr>
      <w:sdtContent>
        <w:p w:rsidR="006357C5" w:rsidRDefault="006357C5">
          <w:pPr>
            <w:pStyle w:val="TOCHeading"/>
          </w:pPr>
          <w:r>
            <w:t>Contents</w:t>
          </w:r>
        </w:p>
        <w:p w:rsidR="006357C5" w:rsidRDefault="006357C5">
          <w:pPr>
            <w:pStyle w:val="TOC1"/>
            <w:rPr>
              <w:rFonts w:asciiTheme="minorHAnsi" w:eastAsiaTheme="minorEastAsia" w:hAnsiTheme="minorHAnsi" w:cstheme="minorBidi"/>
              <w:b w:val="0"/>
              <w:bCs w:val="0"/>
              <w:caps w:val="0"/>
              <w:noProof/>
              <w:sz w:val="22"/>
              <w:szCs w:val="22"/>
            </w:rPr>
          </w:pPr>
          <w:r>
            <w:fldChar w:fldCharType="begin"/>
          </w:r>
          <w:r>
            <w:instrText xml:space="preserve"> TOC \o "1-3" \h \z \u </w:instrText>
          </w:r>
          <w:r>
            <w:fldChar w:fldCharType="separate"/>
          </w:r>
          <w:hyperlink w:anchor="_Toc345342915" w:history="1">
            <w:r w:rsidRPr="0088168F">
              <w:rPr>
                <w:rStyle w:val="Hyperlink"/>
                <w:noProof/>
              </w:rPr>
              <w:t>Public Funding of Tertiary Education: International Context and Case Studies</w:t>
            </w:r>
            <w:r>
              <w:rPr>
                <w:noProof/>
                <w:webHidden/>
              </w:rPr>
              <w:tab/>
            </w:r>
            <w:r>
              <w:rPr>
                <w:noProof/>
                <w:webHidden/>
              </w:rPr>
              <w:fldChar w:fldCharType="begin"/>
            </w:r>
            <w:r>
              <w:rPr>
                <w:noProof/>
                <w:webHidden/>
              </w:rPr>
              <w:instrText xml:space="preserve"> PAGEREF _Toc345342915 \h </w:instrText>
            </w:r>
            <w:r>
              <w:rPr>
                <w:noProof/>
                <w:webHidden/>
              </w:rPr>
            </w:r>
            <w:r>
              <w:rPr>
                <w:noProof/>
                <w:webHidden/>
              </w:rPr>
              <w:fldChar w:fldCharType="separate"/>
            </w:r>
            <w:r>
              <w:rPr>
                <w:noProof/>
                <w:webHidden/>
              </w:rPr>
              <w:t>2</w:t>
            </w:r>
            <w:r>
              <w:rPr>
                <w:noProof/>
                <w:webHidden/>
              </w:rPr>
              <w:fldChar w:fldCharType="end"/>
            </w:r>
          </w:hyperlink>
        </w:p>
        <w:p w:rsidR="006357C5" w:rsidRDefault="003A63A6">
          <w:pPr>
            <w:pStyle w:val="TOC2"/>
            <w:rPr>
              <w:rFonts w:asciiTheme="minorHAnsi" w:eastAsiaTheme="minorEastAsia" w:hAnsiTheme="minorHAnsi" w:cstheme="minorBidi"/>
              <w:b w:val="0"/>
              <w:bCs w:val="0"/>
              <w:noProof/>
              <w:sz w:val="22"/>
              <w:szCs w:val="22"/>
            </w:rPr>
          </w:pPr>
          <w:hyperlink w:anchor="_Toc345342916" w:history="1">
            <w:r w:rsidR="006357C5" w:rsidRPr="0088168F">
              <w:rPr>
                <w:rStyle w:val="Hyperlink"/>
                <w:noProof/>
              </w:rPr>
              <w:t>A.</w:t>
            </w:r>
            <w:r w:rsidR="006357C5">
              <w:rPr>
                <w:rFonts w:asciiTheme="minorHAnsi" w:eastAsiaTheme="minorEastAsia" w:hAnsiTheme="minorHAnsi" w:cstheme="minorBidi"/>
                <w:b w:val="0"/>
                <w:bCs w:val="0"/>
                <w:noProof/>
                <w:sz w:val="22"/>
                <w:szCs w:val="22"/>
              </w:rPr>
              <w:tab/>
            </w:r>
            <w:r w:rsidR="006357C5" w:rsidRPr="0088168F">
              <w:rPr>
                <w:rStyle w:val="Hyperlink"/>
                <w:noProof/>
              </w:rPr>
              <w:t>Public funding of tertiary education: an international overview of policies and principles</w:t>
            </w:r>
            <w:r w:rsidR="006357C5">
              <w:rPr>
                <w:noProof/>
                <w:webHidden/>
              </w:rPr>
              <w:tab/>
            </w:r>
            <w:r w:rsidR="006357C5">
              <w:rPr>
                <w:noProof/>
                <w:webHidden/>
              </w:rPr>
              <w:fldChar w:fldCharType="begin"/>
            </w:r>
            <w:r w:rsidR="006357C5">
              <w:rPr>
                <w:noProof/>
                <w:webHidden/>
              </w:rPr>
              <w:instrText xml:space="preserve"> PAGEREF _Toc345342916 \h </w:instrText>
            </w:r>
            <w:r w:rsidR="006357C5">
              <w:rPr>
                <w:noProof/>
                <w:webHidden/>
              </w:rPr>
            </w:r>
            <w:r w:rsidR="006357C5">
              <w:rPr>
                <w:noProof/>
                <w:webHidden/>
              </w:rPr>
              <w:fldChar w:fldCharType="separate"/>
            </w:r>
            <w:r w:rsidR="006357C5">
              <w:rPr>
                <w:noProof/>
                <w:webHidden/>
              </w:rPr>
              <w:t>2</w:t>
            </w:r>
            <w:r w:rsidR="006357C5">
              <w:rPr>
                <w:noProof/>
                <w:webHidden/>
              </w:rPr>
              <w:fldChar w:fldCharType="end"/>
            </w:r>
          </w:hyperlink>
        </w:p>
        <w:p w:rsidR="006357C5" w:rsidRDefault="003A63A6">
          <w:pPr>
            <w:pStyle w:val="TOC3"/>
            <w:tabs>
              <w:tab w:val="right" w:pos="9350"/>
            </w:tabs>
            <w:rPr>
              <w:rFonts w:asciiTheme="minorHAnsi" w:eastAsiaTheme="minorEastAsia" w:hAnsiTheme="minorHAnsi" w:cstheme="minorBidi"/>
              <w:noProof/>
              <w:sz w:val="22"/>
              <w:szCs w:val="22"/>
              <w:lang w:val="en-US"/>
            </w:rPr>
          </w:pPr>
          <w:hyperlink w:anchor="_Toc345342917" w:history="1">
            <w:r w:rsidR="006357C5" w:rsidRPr="0088168F">
              <w:rPr>
                <w:rStyle w:val="Hyperlink"/>
                <w:noProof/>
              </w:rPr>
              <w:t>Models for direct funding of tertiary education institutions</w:t>
            </w:r>
            <w:r w:rsidR="006357C5">
              <w:rPr>
                <w:noProof/>
                <w:webHidden/>
              </w:rPr>
              <w:tab/>
            </w:r>
            <w:r w:rsidR="006357C5">
              <w:rPr>
                <w:noProof/>
                <w:webHidden/>
              </w:rPr>
              <w:fldChar w:fldCharType="begin"/>
            </w:r>
            <w:r w:rsidR="006357C5">
              <w:rPr>
                <w:noProof/>
                <w:webHidden/>
              </w:rPr>
              <w:instrText xml:space="preserve"> PAGEREF _Toc345342917 \h </w:instrText>
            </w:r>
            <w:r w:rsidR="006357C5">
              <w:rPr>
                <w:noProof/>
                <w:webHidden/>
              </w:rPr>
            </w:r>
            <w:r w:rsidR="006357C5">
              <w:rPr>
                <w:noProof/>
                <w:webHidden/>
              </w:rPr>
              <w:fldChar w:fldCharType="separate"/>
            </w:r>
            <w:r w:rsidR="006357C5">
              <w:rPr>
                <w:noProof/>
                <w:webHidden/>
              </w:rPr>
              <w:t>5</w:t>
            </w:r>
            <w:r w:rsidR="006357C5">
              <w:rPr>
                <w:noProof/>
                <w:webHidden/>
              </w:rPr>
              <w:fldChar w:fldCharType="end"/>
            </w:r>
          </w:hyperlink>
        </w:p>
        <w:p w:rsidR="006357C5" w:rsidRDefault="003A63A6">
          <w:pPr>
            <w:pStyle w:val="TOC3"/>
            <w:tabs>
              <w:tab w:val="right" w:pos="9350"/>
            </w:tabs>
            <w:rPr>
              <w:rFonts w:asciiTheme="minorHAnsi" w:eastAsiaTheme="minorEastAsia" w:hAnsiTheme="minorHAnsi" w:cstheme="minorBidi"/>
              <w:noProof/>
              <w:sz w:val="22"/>
              <w:szCs w:val="22"/>
              <w:lang w:val="en-US"/>
            </w:rPr>
          </w:pPr>
          <w:hyperlink w:anchor="_Toc345342918" w:history="1">
            <w:r w:rsidR="006357C5" w:rsidRPr="0088168F">
              <w:rPr>
                <w:rStyle w:val="Hyperlink"/>
                <w:noProof/>
              </w:rPr>
              <w:t>Models for financing students of higher education</w:t>
            </w:r>
            <w:r w:rsidR="006357C5">
              <w:rPr>
                <w:noProof/>
                <w:webHidden/>
              </w:rPr>
              <w:tab/>
            </w:r>
            <w:r w:rsidR="006357C5">
              <w:rPr>
                <w:noProof/>
                <w:webHidden/>
              </w:rPr>
              <w:fldChar w:fldCharType="begin"/>
            </w:r>
            <w:r w:rsidR="006357C5">
              <w:rPr>
                <w:noProof/>
                <w:webHidden/>
              </w:rPr>
              <w:instrText xml:space="preserve"> PAGEREF _Toc345342918 \h </w:instrText>
            </w:r>
            <w:r w:rsidR="006357C5">
              <w:rPr>
                <w:noProof/>
                <w:webHidden/>
              </w:rPr>
            </w:r>
            <w:r w:rsidR="006357C5">
              <w:rPr>
                <w:noProof/>
                <w:webHidden/>
              </w:rPr>
              <w:fldChar w:fldCharType="separate"/>
            </w:r>
            <w:r w:rsidR="006357C5">
              <w:rPr>
                <w:noProof/>
                <w:webHidden/>
              </w:rPr>
              <w:t>8</w:t>
            </w:r>
            <w:r w:rsidR="006357C5">
              <w:rPr>
                <w:noProof/>
                <w:webHidden/>
              </w:rPr>
              <w:fldChar w:fldCharType="end"/>
            </w:r>
          </w:hyperlink>
        </w:p>
        <w:p w:rsidR="006357C5" w:rsidRDefault="003A63A6">
          <w:pPr>
            <w:pStyle w:val="TOC3"/>
            <w:tabs>
              <w:tab w:val="left" w:pos="1100"/>
              <w:tab w:val="right" w:pos="9350"/>
            </w:tabs>
            <w:rPr>
              <w:rFonts w:asciiTheme="minorHAnsi" w:eastAsiaTheme="minorEastAsia" w:hAnsiTheme="minorHAnsi" w:cstheme="minorBidi"/>
              <w:noProof/>
              <w:sz w:val="22"/>
              <w:szCs w:val="22"/>
              <w:lang w:val="en-US"/>
            </w:rPr>
          </w:pPr>
          <w:hyperlink w:anchor="_Toc345342919" w:history="1">
            <w:r w:rsidR="006357C5" w:rsidRPr="0088168F">
              <w:rPr>
                <w:rStyle w:val="Hyperlink"/>
                <w:noProof/>
              </w:rPr>
              <w:t>2</w:t>
            </w:r>
            <w:r w:rsidR="006357C5" w:rsidRPr="0088168F">
              <w:rPr>
                <w:rStyle w:val="Hyperlink"/>
                <w:rFonts w:cs="Arial"/>
                <w:noProof/>
              </w:rPr>
              <w:t>.1</w:t>
            </w:r>
            <w:r w:rsidR="006357C5">
              <w:rPr>
                <w:rFonts w:asciiTheme="minorHAnsi" w:eastAsiaTheme="minorEastAsia" w:hAnsiTheme="minorHAnsi" w:cstheme="minorBidi"/>
                <w:noProof/>
                <w:sz w:val="22"/>
                <w:szCs w:val="22"/>
                <w:lang w:val="en-US"/>
              </w:rPr>
              <w:tab/>
            </w:r>
            <w:r w:rsidR="006357C5" w:rsidRPr="0088168F">
              <w:rPr>
                <w:rStyle w:val="Hyperlink"/>
                <w:rFonts w:cs="Arial"/>
                <w:noProof/>
              </w:rPr>
              <w:t>Grant schemes</w:t>
            </w:r>
            <w:r w:rsidR="006357C5">
              <w:rPr>
                <w:noProof/>
                <w:webHidden/>
              </w:rPr>
              <w:tab/>
            </w:r>
            <w:r w:rsidR="006357C5">
              <w:rPr>
                <w:noProof/>
                <w:webHidden/>
              </w:rPr>
              <w:fldChar w:fldCharType="begin"/>
            </w:r>
            <w:r w:rsidR="006357C5">
              <w:rPr>
                <w:noProof/>
                <w:webHidden/>
              </w:rPr>
              <w:instrText xml:space="preserve"> PAGEREF _Toc345342919 \h </w:instrText>
            </w:r>
            <w:r w:rsidR="006357C5">
              <w:rPr>
                <w:noProof/>
                <w:webHidden/>
              </w:rPr>
            </w:r>
            <w:r w:rsidR="006357C5">
              <w:rPr>
                <w:noProof/>
                <w:webHidden/>
              </w:rPr>
              <w:fldChar w:fldCharType="separate"/>
            </w:r>
            <w:r w:rsidR="006357C5">
              <w:rPr>
                <w:noProof/>
                <w:webHidden/>
              </w:rPr>
              <w:t>9</w:t>
            </w:r>
            <w:r w:rsidR="006357C5">
              <w:rPr>
                <w:noProof/>
                <w:webHidden/>
              </w:rPr>
              <w:fldChar w:fldCharType="end"/>
            </w:r>
          </w:hyperlink>
        </w:p>
        <w:p w:rsidR="006357C5" w:rsidRDefault="003A63A6">
          <w:pPr>
            <w:pStyle w:val="TOC3"/>
            <w:tabs>
              <w:tab w:val="left" w:pos="1320"/>
              <w:tab w:val="right" w:pos="9350"/>
            </w:tabs>
            <w:rPr>
              <w:rFonts w:asciiTheme="minorHAnsi" w:eastAsiaTheme="minorEastAsia" w:hAnsiTheme="minorHAnsi" w:cstheme="minorBidi"/>
              <w:noProof/>
              <w:sz w:val="22"/>
              <w:szCs w:val="22"/>
              <w:lang w:val="en-US"/>
            </w:rPr>
          </w:pPr>
          <w:hyperlink w:anchor="_Toc345342920" w:history="1">
            <w:r w:rsidR="006357C5" w:rsidRPr="0088168F">
              <w:rPr>
                <w:rStyle w:val="Hyperlink"/>
                <w:noProof/>
              </w:rPr>
              <w:t xml:space="preserve">2.2 </w:t>
            </w:r>
            <w:r w:rsidR="006357C5">
              <w:rPr>
                <w:rFonts w:asciiTheme="minorHAnsi" w:eastAsiaTheme="minorEastAsia" w:hAnsiTheme="minorHAnsi" w:cstheme="minorBidi"/>
                <w:noProof/>
                <w:sz w:val="22"/>
                <w:szCs w:val="22"/>
                <w:lang w:val="en-US"/>
              </w:rPr>
              <w:tab/>
            </w:r>
            <w:r w:rsidR="006357C5" w:rsidRPr="0088168F">
              <w:rPr>
                <w:rStyle w:val="Hyperlink"/>
                <w:noProof/>
              </w:rPr>
              <w:t>Student</w:t>
            </w:r>
            <w:r w:rsidR="006357C5" w:rsidRPr="0088168F">
              <w:rPr>
                <w:rStyle w:val="Hyperlink"/>
                <w:rFonts w:ascii="Times New Roman" w:hAnsi="Times New Roman"/>
                <w:noProof/>
              </w:rPr>
              <w:t xml:space="preserve"> </w:t>
            </w:r>
            <w:r w:rsidR="006357C5" w:rsidRPr="0088168F">
              <w:rPr>
                <w:rStyle w:val="Hyperlink"/>
                <w:noProof/>
              </w:rPr>
              <w:t>loan</w:t>
            </w:r>
            <w:r w:rsidR="006357C5" w:rsidRPr="0088168F">
              <w:rPr>
                <w:rStyle w:val="Hyperlink"/>
                <w:rFonts w:ascii="Times New Roman" w:hAnsi="Times New Roman"/>
                <w:noProof/>
              </w:rPr>
              <w:t xml:space="preserve"> </w:t>
            </w:r>
            <w:r w:rsidR="006357C5" w:rsidRPr="0088168F">
              <w:rPr>
                <w:rStyle w:val="Hyperlink"/>
                <w:noProof/>
              </w:rPr>
              <w:t>schemes</w:t>
            </w:r>
            <w:r w:rsidR="006357C5">
              <w:rPr>
                <w:noProof/>
                <w:webHidden/>
              </w:rPr>
              <w:tab/>
            </w:r>
            <w:r w:rsidR="006357C5">
              <w:rPr>
                <w:noProof/>
                <w:webHidden/>
              </w:rPr>
              <w:fldChar w:fldCharType="begin"/>
            </w:r>
            <w:r w:rsidR="006357C5">
              <w:rPr>
                <w:noProof/>
                <w:webHidden/>
              </w:rPr>
              <w:instrText xml:space="preserve"> PAGEREF _Toc345342920 \h </w:instrText>
            </w:r>
            <w:r w:rsidR="006357C5">
              <w:rPr>
                <w:noProof/>
                <w:webHidden/>
              </w:rPr>
            </w:r>
            <w:r w:rsidR="006357C5">
              <w:rPr>
                <w:noProof/>
                <w:webHidden/>
              </w:rPr>
              <w:fldChar w:fldCharType="separate"/>
            </w:r>
            <w:r w:rsidR="006357C5">
              <w:rPr>
                <w:noProof/>
                <w:webHidden/>
              </w:rPr>
              <w:t>10</w:t>
            </w:r>
            <w:r w:rsidR="006357C5">
              <w:rPr>
                <w:noProof/>
                <w:webHidden/>
              </w:rPr>
              <w:fldChar w:fldCharType="end"/>
            </w:r>
          </w:hyperlink>
        </w:p>
        <w:p w:rsidR="006357C5" w:rsidRDefault="003A63A6">
          <w:pPr>
            <w:pStyle w:val="TOC3"/>
            <w:tabs>
              <w:tab w:val="left" w:pos="1100"/>
              <w:tab w:val="right" w:pos="9350"/>
            </w:tabs>
            <w:rPr>
              <w:rFonts w:asciiTheme="minorHAnsi" w:eastAsiaTheme="minorEastAsia" w:hAnsiTheme="minorHAnsi" w:cstheme="minorBidi"/>
              <w:noProof/>
              <w:sz w:val="22"/>
              <w:szCs w:val="22"/>
              <w:lang w:val="en-US"/>
            </w:rPr>
          </w:pPr>
          <w:hyperlink w:anchor="_Toc345342921" w:history="1">
            <w:r w:rsidR="006357C5" w:rsidRPr="0088168F">
              <w:rPr>
                <w:rStyle w:val="Hyperlink"/>
                <w:noProof/>
              </w:rPr>
              <w:t>i.</w:t>
            </w:r>
            <w:r w:rsidR="006357C5">
              <w:rPr>
                <w:rFonts w:asciiTheme="minorHAnsi" w:eastAsiaTheme="minorEastAsia" w:hAnsiTheme="minorHAnsi" w:cstheme="minorBidi"/>
                <w:noProof/>
                <w:sz w:val="22"/>
                <w:szCs w:val="22"/>
                <w:lang w:val="en-US"/>
              </w:rPr>
              <w:tab/>
            </w:r>
            <w:r w:rsidR="006357C5" w:rsidRPr="0088168F">
              <w:rPr>
                <w:rStyle w:val="Hyperlink"/>
                <w:noProof/>
              </w:rPr>
              <w:t>General principles for funding tertiary education, an OECD perspective</w:t>
            </w:r>
            <w:r w:rsidR="006357C5">
              <w:rPr>
                <w:noProof/>
                <w:webHidden/>
              </w:rPr>
              <w:tab/>
            </w:r>
            <w:r w:rsidR="006357C5">
              <w:rPr>
                <w:noProof/>
                <w:webHidden/>
              </w:rPr>
              <w:fldChar w:fldCharType="begin"/>
            </w:r>
            <w:r w:rsidR="006357C5">
              <w:rPr>
                <w:noProof/>
                <w:webHidden/>
              </w:rPr>
              <w:instrText xml:space="preserve"> PAGEREF _Toc345342921 \h </w:instrText>
            </w:r>
            <w:r w:rsidR="006357C5">
              <w:rPr>
                <w:noProof/>
                <w:webHidden/>
              </w:rPr>
            </w:r>
            <w:r w:rsidR="006357C5">
              <w:rPr>
                <w:noProof/>
                <w:webHidden/>
              </w:rPr>
              <w:fldChar w:fldCharType="separate"/>
            </w:r>
            <w:r w:rsidR="006357C5">
              <w:rPr>
                <w:noProof/>
                <w:webHidden/>
              </w:rPr>
              <w:t>11</w:t>
            </w:r>
            <w:r w:rsidR="006357C5">
              <w:rPr>
                <w:noProof/>
                <w:webHidden/>
              </w:rPr>
              <w:fldChar w:fldCharType="end"/>
            </w:r>
          </w:hyperlink>
        </w:p>
        <w:p w:rsidR="006357C5" w:rsidRDefault="003A63A6">
          <w:pPr>
            <w:pStyle w:val="TOC3"/>
            <w:tabs>
              <w:tab w:val="left" w:pos="1100"/>
              <w:tab w:val="right" w:pos="9350"/>
            </w:tabs>
            <w:rPr>
              <w:rFonts w:asciiTheme="minorHAnsi" w:eastAsiaTheme="minorEastAsia" w:hAnsiTheme="minorHAnsi" w:cstheme="minorBidi"/>
              <w:noProof/>
              <w:sz w:val="22"/>
              <w:szCs w:val="22"/>
              <w:lang w:val="en-US"/>
            </w:rPr>
          </w:pPr>
          <w:hyperlink w:anchor="_Toc345342922" w:history="1">
            <w:r w:rsidR="006357C5" w:rsidRPr="0088168F">
              <w:rPr>
                <w:rStyle w:val="Hyperlink"/>
                <w:noProof/>
              </w:rPr>
              <w:t>ii.</w:t>
            </w:r>
            <w:r w:rsidR="006357C5">
              <w:rPr>
                <w:rFonts w:asciiTheme="minorHAnsi" w:eastAsiaTheme="minorEastAsia" w:hAnsiTheme="minorHAnsi" w:cstheme="minorBidi"/>
                <w:noProof/>
                <w:sz w:val="22"/>
                <w:szCs w:val="22"/>
                <w:lang w:val="en-US"/>
              </w:rPr>
              <w:tab/>
            </w:r>
            <w:r w:rsidR="006357C5" w:rsidRPr="0088168F">
              <w:rPr>
                <w:rStyle w:val="Hyperlink"/>
                <w:rFonts w:cs="Arial"/>
                <w:noProof/>
              </w:rPr>
              <w:t>Additional information and tables</w:t>
            </w:r>
            <w:r w:rsidR="006357C5">
              <w:rPr>
                <w:noProof/>
                <w:webHidden/>
              </w:rPr>
              <w:tab/>
            </w:r>
            <w:r w:rsidR="006357C5">
              <w:rPr>
                <w:noProof/>
                <w:webHidden/>
              </w:rPr>
              <w:fldChar w:fldCharType="begin"/>
            </w:r>
            <w:r w:rsidR="006357C5">
              <w:rPr>
                <w:noProof/>
                <w:webHidden/>
              </w:rPr>
              <w:instrText xml:space="preserve"> PAGEREF _Toc345342922 \h </w:instrText>
            </w:r>
            <w:r w:rsidR="006357C5">
              <w:rPr>
                <w:noProof/>
                <w:webHidden/>
              </w:rPr>
            </w:r>
            <w:r w:rsidR="006357C5">
              <w:rPr>
                <w:noProof/>
                <w:webHidden/>
              </w:rPr>
              <w:fldChar w:fldCharType="separate"/>
            </w:r>
            <w:r w:rsidR="006357C5">
              <w:rPr>
                <w:noProof/>
                <w:webHidden/>
              </w:rPr>
              <w:t>14</w:t>
            </w:r>
            <w:r w:rsidR="006357C5">
              <w:rPr>
                <w:noProof/>
                <w:webHidden/>
              </w:rPr>
              <w:fldChar w:fldCharType="end"/>
            </w:r>
          </w:hyperlink>
        </w:p>
        <w:p w:rsidR="006357C5" w:rsidRDefault="003A63A6">
          <w:pPr>
            <w:pStyle w:val="TOC2"/>
            <w:rPr>
              <w:rFonts w:asciiTheme="minorHAnsi" w:eastAsiaTheme="minorEastAsia" w:hAnsiTheme="minorHAnsi" w:cstheme="minorBidi"/>
              <w:b w:val="0"/>
              <w:bCs w:val="0"/>
              <w:noProof/>
              <w:sz w:val="22"/>
              <w:szCs w:val="22"/>
            </w:rPr>
          </w:pPr>
          <w:hyperlink w:anchor="_Toc345342923" w:history="1">
            <w:r w:rsidR="006357C5" w:rsidRPr="0088168F">
              <w:rPr>
                <w:rStyle w:val="Hyperlink"/>
                <w:noProof/>
              </w:rPr>
              <w:t>B.</w:t>
            </w:r>
            <w:r w:rsidR="006357C5">
              <w:rPr>
                <w:rFonts w:asciiTheme="minorHAnsi" w:eastAsiaTheme="minorEastAsia" w:hAnsiTheme="minorHAnsi" w:cstheme="minorBidi"/>
                <w:b w:val="0"/>
                <w:bCs w:val="0"/>
                <w:noProof/>
                <w:sz w:val="22"/>
                <w:szCs w:val="22"/>
              </w:rPr>
              <w:tab/>
            </w:r>
            <w:r w:rsidR="006357C5" w:rsidRPr="0088168F">
              <w:rPr>
                <w:rStyle w:val="Hyperlink"/>
                <w:noProof/>
              </w:rPr>
              <w:t>Case Studies</w:t>
            </w:r>
            <w:r w:rsidR="006357C5">
              <w:rPr>
                <w:noProof/>
                <w:webHidden/>
              </w:rPr>
              <w:tab/>
            </w:r>
            <w:r w:rsidR="006357C5">
              <w:rPr>
                <w:noProof/>
                <w:webHidden/>
              </w:rPr>
              <w:fldChar w:fldCharType="begin"/>
            </w:r>
            <w:r w:rsidR="006357C5">
              <w:rPr>
                <w:noProof/>
                <w:webHidden/>
              </w:rPr>
              <w:instrText xml:space="preserve"> PAGEREF _Toc345342923 \h </w:instrText>
            </w:r>
            <w:r w:rsidR="006357C5">
              <w:rPr>
                <w:noProof/>
                <w:webHidden/>
              </w:rPr>
            </w:r>
            <w:r w:rsidR="006357C5">
              <w:rPr>
                <w:noProof/>
                <w:webHidden/>
              </w:rPr>
              <w:fldChar w:fldCharType="separate"/>
            </w:r>
            <w:r w:rsidR="006357C5">
              <w:rPr>
                <w:noProof/>
                <w:webHidden/>
              </w:rPr>
              <w:t>17</w:t>
            </w:r>
            <w:r w:rsidR="006357C5">
              <w:rPr>
                <w:noProof/>
                <w:webHidden/>
              </w:rPr>
              <w:fldChar w:fldCharType="end"/>
            </w:r>
          </w:hyperlink>
        </w:p>
        <w:p w:rsidR="006357C5" w:rsidRDefault="003A63A6">
          <w:pPr>
            <w:pStyle w:val="TOC2"/>
            <w:rPr>
              <w:rFonts w:asciiTheme="minorHAnsi" w:eastAsiaTheme="minorEastAsia" w:hAnsiTheme="minorHAnsi" w:cstheme="minorBidi"/>
              <w:b w:val="0"/>
              <w:bCs w:val="0"/>
              <w:noProof/>
              <w:sz w:val="22"/>
              <w:szCs w:val="22"/>
            </w:rPr>
          </w:pPr>
          <w:hyperlink w:anchor="_Toc345342924" w:history="1">
            <w:r w:rsidR="006357C5" w:rsidRPr="0088168F">
              <w:rPr>
                <w:rStyle w:val="Hyperlink"/>
                <w:noProof/>
              </w:rPr>
              <w:t>Australia</w:t>
            </w:r>
            <w:r w:rsidR="006357C5">
              <w:rPr>
                <w:noProof/>
                <w:webHidden/>
              </w:rPr>
              <w:tab/>
            </w:r>
            <w:r w:rsidR="006357C5">
              <w:rPr>
                <w:noProof/>
                <w:webHidden/>
              </w:rPr>
              <w:fldChar w:fldCharType="begin"/>
            </w:r>
            <w:r w:rsidR="006357C5">
              <w:rPr>
                <w:noProof/>
                <w:webHidden/>
              </w:rPr>
              <w:instrText xml:space="preserve"> PAGEREF _Toc345342924 \h </w:instrText>
            </w:r>
            <w:r w:rsidR="006357C5">
              <w:rPr>
                <w:noProof/>
                <w:webHidden/>
              </w:rPr>
            </w:r>
            <w:r w:rsidR="006357C5">
              <w:rPr>
                <w:noProof/>
                <w:webHidden/>
              </w:rPr>
              <w:fldChar w:fldCharType="separate"/>
            </w:r>
            <w:r w:rsidR="006357C5">
              <w:rPr>
                <w:noProof/>
                <w:webHidden/>
              </w:rPr>
              <w:t>23</w:t>
            </w:r>
            <w:r w:rsidR="006357C5">
              <w:rPr>
                <w:noProof/>
                <w:webHidden/>
              </w:rPr>
              <w:fldChar w:fldCharType="end"/>
            </w:r>
          </w:hyperlink>
        </w:p>
        <w:p w:rsidR="006357C5" w:rsidRDefault="003A63A6">
          <w:pPr>
            <w:pStyle w:val="TOC2"/>
            <w:rPr>
              <w:rFonts w:asciiTheme="minorHAnsi" w:eastAsiaTheme="minorEastAsia" w:hAnsiTheme="minorHAnsi" w:cstheme="minorBidi"/>
              <w:b w:val="0"/>
              <w:bCs w:val="0"/>
              <w:noProof/>
              <w:sz w:val="22"/>
              <w:szCs w:val="22"/>
            </w:rPr>
          </w:pPr>
          <w:hyperlink w:anchor="_Toc345342925" w:history="1">
            <w:r w:rsidR="006357C5" w:rsidRPr="0088168F">
              <w:rPr>
                <w:rStyle w:val="Hyperlink"/>
                <w:noProof/>
              </w:rPr>
              <w:t>New Zealand</w:t>
            </w:r>
            <w:r w:rsidR="006357C5">
              <w:rPr>
                <w:noProof/>
                <w:webHidden/>
              </w:rPr>
              <w:tab/>
            </w:r>
            <w:r w:rsidR="006357C5">
              <w:rPr>
                <w:noProof/>
                <w:webHidden/>
              </w:rPr>
              <w:fldChar w:fldCharType="begin"/>
            </w:r>
            <w:r w:rsidR="006357C5">
              <w:rPr>
                <w:noProof/>
                <w:webHidden/>
              </w:rPr>
              <w:instrText xml:space="preserve"> PAGEREF _Toc345342925 \h </w:instrText>
            </w:r>
            <w:r w:rsidR="006357C5">
              <w:rPr>
                <w:noProof/>
                <w:webHidden/>
              </w:rPr>
            </w:r>
            <w:r w:rsidR="006357C5">
              <w:rPr>
                <w:noProof/>
                <w:webHidden/>
              </w:rPr>
              <w:fldChar w:fldCharType="separate"/>
            </w:r>
            <w:r w:rsidR="006357C5">
              <w:rPr>
                <w:noProof/>
                <w:webHidden/>
              </w:rPr>
              <w:t>30</w:t>
            </w:r>
            <w:r w:rsidR="006357C5">
              <w:rPr>
                <w:noProof/>
                <w:webHidden/>
              </w:rPr>
              <w:fldChar w:fldCharType="end"/>
            </w:r>
          </w:hyperlink>
        </w:p>
        <w:p w:rsidR="006357C5" w:rsidRDefault="003A63A6">
          <w:pPr>
            <w:pStyle w:val="TOC2"/>
            <w:rPr>
              <w:rFonts w:asciiTheme="minorHAnsi" w:eastAsiaTheme="minorEastAsia" w:hAnsiTheme="minorHAnsi" w:cstheme="minorBidi"/>
              <w:b w:val="0"/>
              <w:bCs w:val="0"/>
              <w:noProof/>
              <w:sz w:val="22"/>
              <w:szCs w:val="22"/>
            </w:rPr>
          </w:pPr>
          <w:hyperlink w:anchor="_Toc345342926" w:history="1">
            <w:r w:rsidR="006357C5" w:rsidRPr="0088168F">
              <w:rPr>
                <w:rStyle w:val="Hyperlink"/>
                <w:noProof/>
              </w:rPr>
              <w:t>United Kingdom</w:t>
            </w:r>
            <w:r w:rsidR="006357C5">
              <w:rPr>
                <w:noProof/>
                <w:webHidden/>
              </w:rPr>
              <w:tab/>
            </w:r>
            <w:r w:rsidR="006357C5">
              <w:rPr>
                <w:noProof/>
                <w:webHidden/>
              </w:rPr>
              <w:fldChar w:fldCharType="begin"/>
            </w:r>
            <w:r w:rsidR="006357C5">
              <w:rPr>
                <w:noProof/>
                <w:webHidden/>
              </w:rPr>
              <w:instrText xml:space="preserve"> PAGEREF _Toc345342926 \h </w:instrText>
            </w:r>
            <w:r w:rsidR="006357C5">
              <w:rPr>
                <w:noProof/>
                <w:webHidden/>
              </w:rPr>
            </w:r>
            <w:r w:rsidR="006357C5">
              <w:rPr>
                <w:noProof/>
                <w:webHidden/>
              </w:rPr>
              <w:fldChar w:fldCharType="separate"/>
            </w:r>
            <w:r w:rsidR="006357C5">
              <w:rPr>
                <w:noProof/>
                <w:webHidden/>
              </w:rPr>
              <w:t>45</w:t>
            </w:r>
            <w:r w:rsidR="006357C5">
              <w:rPr>
                <w:noProof/>
                <w:webHidden/>
              </w:rPr>
              <w:fldChar w:fldCharType="end"/>
            </w:r>
          </w:hyperlink>
        </w:p>
        <w:p w:rsidR="006357C5" w:rsidRDefault="003A63A6">
          <w:pPr>
            <w:pStyle w:val="TOC2"/>
            <w:rPr>
              <w:rFonts w:asciiTheme="minorHAnsi" w:eastAsiaTheme="minorEastAsia" w:hAnsiTheme="minorHAnsi" w:cstheme="minorBidi"/>
              <w:b w:val="0"/>
              <w:bCs w:val="0"/>
              <w:noProof/>
              <w:sz w:val="22"/>
              <w:szCs w:val="22"/>
            </w:rPr>
          </w:pPr>
          <w:hyperlink w:anchor="_Toc345342927" w:history="1">
            <w:r w:rsidR="006357C5" w:rsidRPr="0088168F">
              <w:rPr>
                <w:rStyle w:val="Hyperlink"/>
                <w:noProof/>
              </w:rPr>
              <w:t>Hungary</w:t>
            </w:r>
            <w:r w:rsidR="006357C5">
              <w:rPr>
                <w:noProof/>
                <w:webHidden/>
              </w:rPr>
              <w:tab/>
            </w:r>
            <w:r w:rsidR="006357C5">
              <w:rPr>
                <w:noProof/>
                <w:webHidden/>
              </w:rPr>
              <w:fldChar w:fldCharType="begin"/>
            </w:r>
            <w:r w:rsidR="006357C5">
              <w:rPr>
                <w:noProof/>
                <w:webHidden/>
              </w:rPr>
              <w:instrText xml:space="preserve"> PAGEREF _Toc345342927 \h </w:instrText>
            </w:r>
            <w:r w:rsidR="006357C5">
              <w:rPr>
                <w:noProof/>
                <w:webHidden/>
              </w:rPr>
            </w:r>
            <w:r w:rsidR="006357C5">
              <w:rPr>
                <w:noProof/>
                <w:webHidden/>
              </w:rPr>
              <w:fldChar w:fldCharType="separate"/>
            </w:r>
            <w:r w:rsidR="006357C5">
              <w:rPr>
                <w:noProof/>
                <w:webHidden/>
              </w:rPr>
              <w:t>52</w:t>
            </w:r>
            <w:r w:rsidR="006357C5">
              <w:rPr>
                <w:noProof/>
                <w:webHidden/>
              </w:rPr>
              <w:fldChar w:fldCharType="end"/>
            </w:r>
          </w:hyperlink>
        </w:p>
        <w:p w:rsidR="006357C5" w:rsidRDefault="003A63A6">
          <w:pPr>
            <w:pStyle w:val="TOC2"/>
            <w:rPr>
              <w:rFonts w:asciiTheme="minorHAnsi" w:eastAsiaTheme="minorEastAsia" w:hAnsiTheme="minorHAnsi" w:cstheme="minorBidi"/>
              <w:b w:val="0"/>
              <w:bCs w:val="0"/>
              <w:noProof/>
              <w:sz w:val="22"/>
              <w:szCs w:val="22"/>
            </w:rPr>
          </w:pPr>
          <w:hyperlink w:anchor="_Toc345342928" w:history="1">
            <w:r w:rsidR="006357C5" w:rsidRPr="0088168F">
              <w:rPr>
                <w:rStyle w:val="Hyperlink"/>
                <w:noProof/>
              </w:rPr>
              <w:t>South Africa</w:t>
            </w:r>
            <w:r w:rsidR="006357C5">
              <w:rPr>
                <w:noProof/>
                <w:webHidden/>
              </w:rPr>
              <w:tab/>
            </w:r>
            <w:r w:rsidR="006357C5">
              <w:rPr>
                <w:noProof/>
                <w:webHidden/>
              </w:rPr>
              <w:fldChar w:fldCharType="begin"/>
            </w:r>
            <w:r w:rsidR="006357C5">
              <w:rPr>
                <w:noProof/>
                <w:webHidden/>
              </w:rPr>
              <w:instrText xml:space="preserve"> PAGEREF _Toc345342928 \h </w:instrText>
            </w:r>
            <w:r w:rsidR="006357C5">
              <w:rPr>
                <w:noProof/>
                <w:webHidden/>
              </w:rPr>
            </w:r>
            <w:r w:rsidR="006357C5">
              <w:rPr>
                <w:noProof/>
                <w:webHidden/>
              </w:rPr>
              <w:fldChar w:fldCharType="separate"/>
            </w:r>
            <w:r w:rsidR="006357C5">
              <w:rPr>
                <w:noProof/>
                <w:webHidden/>
              </w:rPr>
              <w:t>60</w:t>
            </w:r>
            <w:r w:rsidR="006357C5">
              <w:rPr>
                <w:noProof/>
                <w:webHidden/>
              </w:rPr>
              <w:fldChar w:fldCharType="end"/>
            </w:r>
          </w:hyperlink>
        </w:p>
        <w:p w:rsidR="006357C5" w:rsidRDefault="006357C5">
          <w:r>
            <w:rPr>
              <w:b/>
              <w:bCs/>
              <w:noProof/>
            </w:rPr>
            <w:fldChar w:fldCharType="end"/>
          </w:r>
        </w:p>
      </w:sdtContent>
    </w:sdt>
    <w:p w:rsidR="006357C5" w:rsidRDefault="006357C5">
      <w:pPr>
        <w:rPr>
          <w:rFonts w:ascii="Cambria" w:eastAsia="Times New Roman" w:hAnsi="Cambria" w:cs="Times New Roman"/>
          <w:b/>
          <w:bCs/>
          <w:color w:val="365F91"/>
          <w:sz w:val="28"/>
          <w:szCs w:val="28"/>
        </w:rPr>
      </w:pPr>
    </w:p>
    <w:p w:rsidR="006357C5" w:rsidRDefault="006357C5">
      <w:pPr>
        <w:rPr>
          <w:rFonts w:ascii="Cambria" w:eastAsia="Times New Roman" w:hAnsi="Cambria" w:cs="Times New Roman"/>
          <w:b/>
          <w:bCs/>
          <w:color w:val="365F91"/>
          <w:sz w:val="28"/>
          <w:szCs w:val="28"/>
        </w:rPr>
      </w:pPr>
      <w:r>
        <w:br w:type="page"/>
      </w:r>
    </w:p>
    <w:p w:rsidR="006357C5" w:rsidRDefault="006357C5" w:rsidP="006357C5">
      <w:pPr>
        <w:pStyle w:val="Heading1"/>
        <w:spacing w:before="0"/>
      </w:pPr>
      <w:bookmarkStart w:id="3" w:name="_Toc345342915"/>
      <w:r>
        <w:lastRenderedPageBreak/>
        <w:t>Public Funding of Tertiary Education</w:t>
      </w:r>
      <w:r w:rsidRPr="00DF0CD6">
        <w:t>: International Context and Case Studies</w:t>
      </w:r>
      <w:bookmarkEnd w:id="0"/>
      <w:bookmarkEnd w:id="1"/>
      <w:bookmarkEnd w:id="3"/>
    </w:p>
    <w:p w:rsidR="006357C5" w:rsidRPr="00DF0CD6" w:rsidRDefault="006357C5" w:rsidP="006357C5">
      <w:pPr>
        <w:jc w:val="both"/>
      </w:pPr>
    </w:p>
    <w:p w:rsidR="006357C5" w:rsidRDefault="006357C5" w:rsidP="006357C5">
      <w:pPr>
        <w:pStyle w:val="Heading2"/>
        <w:numPr>
          <w:ilvl w:val="0"/>
          <w:numId w:val="3"/>
        </w:numPr>
        <w:spacing w:before="0"/>
        <w:ind w:left="426" w:hanging="426"/>
        <w:jc w:val="both"/>
      </w:pPr>
      <w:bookmarkStart w:id="4" w:name="_Toc327186205"/>
      <w:bookmarkStart w:id="5" w:name="_Toc328588958"/>
      <w:bookmarkStart w:id="6" w:name="_Toc328573829"/>
      <w:bookmarkStart w:id="7" w:name="_Toc345342916"/>
      <w:r w:rsidRPr="00DF0CD6">
        <w:t>Public funding of tertiary education: an international overview of policies and principles</w:t>
      </w:r>
      <w:bookmarkEnd w:id="4"/>
      <w:bookmarkEnd w:id="5"/>
      <w:bookmarkEnd w:id="6"/>
      <w:bookmarkEnd w:id="7"/>
    </w:p>
    <w:p w:rsidR="006357C5" w:rsidRPr="00DF0CD6" w:rsidRDefault="006357C5" w:rsidP="006357C5">
      <w:pPr>
        <w:jc w:val="both"/>
      </w:pPr>
    </w:p>
    <w:p w:rsidR="006357C5" w:rsidRPr="00DF0CD6" w:rsidRDefault="006357C5" w:rsidP="006357C5">
      <w:pPr>
        <w:jc w:val="both"/>
      </w:pPr>
      <w:r w:rsidRPr="00DF0CD6">
        <w:t xml:space="preserve">This annex provides a brief summary of the different ways in which governments provide funding for tertiary education. It then gives concrete examples of countries that have chosen different systems for tertiary education finance and reviews the general principles for financing higher education. This annex does not claim to be a piece of original work, as a number of sections are reproduced literally from other sources. In such cases, sources are indicated at the beginning of the section. </w:t>
      </w:r>
    </w:p>
    <w:p w:rsidR="006357C5" w:rsidRPr="00DF0CD6" w:rsidRDefault="006357C5" w:rsidP="006357C5">
      <w:pPr>
        <w:jc w:val="both"/>
      </w:pPr>
    </w:p>
    <w:p w:rsidR="006357C5" w:rsidRPr="00DF0CD6" w:rsidRDefault="006357C5" w:rsidP="006357C5">
      <w:pPr>
        <w:jc w:val="both"/>
      </w:pPr>
      <w:r w:rsidRPr="00DF0CD6">
        <w:t>In the past years, governments have come to regard a differentiated, high quality tertiary education system with broad access and low costs as a driver of economic growth and social progress. This has led to an increased focus on policies that allow for the expansion of access to tertiary education.</w:t>
      </w:r>
      <w:r>
        <w:t xml:space="preserve"> </w:t>
      </w:r>
      <w:r w:rsidRPr="00DF0CD6">
        <w:t>In a time of constrained public finances, cost sharing solutions, where students and their families bear part of the costs of tertiary education through tuition and user fees, have become more popular in countries at all income levels. Despite the growth of cost sharing, public resources are still the largest share of resources spent in tertiary education in the OECD, representing on average 69% of total funding in 2007 (ranging from 20.7 percent in Korea to 97 percent in Norway)</w:t>
      </w:r>
      <w:r w:rsidRPr="00DF0CD6">
        <w:rPr>
          <w:vertAlign w:val="superscript"/>
        </w:rPr>
        <w:footnoteReference w:id="1"/>
      </w:r>
      <w:r w:rsidRPr="00DF0CD6">
        <w:t>.</w:t>
      </w:r>
      <w:r>
        <w:t xml:space="preserve"> </w:t>
      </w:r>
      <w:r w:rsidRPr="00DF0CD6">
        <w:t>Indeed, even though the share of private expenditures in tertiary education rose from 24 to 30 percent between 2000 and 2007, public expenditure on tertiary education continued to rise in real terms for all OECD countries for which data is available except Japan.</w:t>
      </w:r>
      <w:r w:rsidRPr="00DF0CD6">
        <w:rPr>
          <w:vertAlign w:val="superscript"/>
        </w:rPr>
        <w:footnoteReference w:id="2"/>
      </w:r>
    </w:p>
    <w:p w:rsidR="006357C5" w:rsidRDefault="006357C5" w:rsidP="006357C5">
      <w:pPr>
        <w:jc w:val="both"/>
      </w:pPr>
    </w:p>
    <w:p w:rsidR="006357C5" w:rsidRDefault="006357C5" w:rsidP="006357C5">
      <w:pPr>
        <w:jc w:val="both"/>
      </w:pPr>
      <w:r w:rsidRPr="00DF0CD6">
        <w:t>Through their role as regulators and financers, governments play a major role in steering tertiary education systems to contribute to the economic and social goals of their countries. Governments can choose from a wide variety of policies to allocate funds to tertiary education and to establish quality assurance policies and governance systems. Different policy choices will generate different sets of incentives and requirements for system stakeholders, namely, students and tertiary education institutions. Today, most governments aspire to a set of policies that allow them to meet three broad challenges: (a) increasing access to, and equity in, the tertiary education system; (b) increasing the external efficiency of that system by improving both the quality of the education provided and the relevance of programs in meeting a variety of societal and labor market needs; and (c) improving the internal efficiency and sustainability of tertiary education by increasing timely graduation, reducing dropout rates and controlling the growth of costs per student.</w:t>
      </w:r>
    </w:p>
    <w:p w:rsidR="006357C5" w:rsidRDefault="006357C5" w:rsidP="006357C5">
      <w:pPr>
        <w:jc w:val="both"/>
      </w:pPr>
    </w:p>
    <w:p w:rsidR="006357C5" w:rsidRDefault="006357C5" w:rsidP="006357C5">
      <w:pPr>
        <w:jc w:val="both"/>
      </w:pPr>
      <w:r w:rsidRPr="00DF0CD6">
        <w:t>Governments use different combinations of mechanisms to allocate funds for tertiary education.</w:t>
      </w:r>
      <w:r>
        <w:t xml:space="preserve"> </w:t>
      </w:r>
      <w:r w:rsidRPr="00DF0CD6">
        <w:t xml:space="preserve">Salmi and Hauptman (2006, p. 7) classify these mechanisms in two broad categories: (i) direct </w:t>
      </w:r>
      <w:r w:rsidRPr="00DF0CD6">
        <w:lastRenderedPageBreak/>
        <w:t>resource transfers to institutions for the support of recurrent expenses, capital investments, specific purposes, and research, and (ii) indirect support for institutions through resource transfers, vouchers and subsidies provided to students or their families in the form of grants and scholarships, tax benefits, and subsidized loans to defray or delay the cost of tuition fees or related non-educational expenses such as housing, food, and other living expenses.</w:t>
      </w:r>
      <w:r>
        <w:t xml:space="preserve"> </w:t>
      </w:r>
      <w:r w:rsidRPr="00DF0CD6">
        <w:t>In 2007, OECD countries channeled 79 percent of total resources spent on tertiary education directly to education institutions, while the remaining 21 percent was channeled through student financial aid and transfers to other private entities.</w:t>
      </w:r>
      <w:r w:rsidRPr="00DF0CD6">
        <w:rPr>
          <w:vertAlign w:val="superscript"/>
        </w:rPr>
        <w:footnoteReference w:id="3"/>
      </w:r>
      <w:r w:rsidRPr="00DF0CD6">
        <w:t xml:space="preserve"> Only Australia, Chile, New Zealand, Norway and the UK channel 30 percent or more of public funds for tertiary education through student financial aid schemes. </w:t>
      </w:r>
    </w:p>
    <w:p w:rsidR="006357C5" w:rsidRDefault="006357C5" w:rsidP="006357C5">
      <w:pPr>
        <w:jc w:val="both"/>
      </w:pPr>
    </w:p>
    <w:p w:rsidR="006357C5" w:rsidRDefault="006357C5" w:rsidP="006357C5">
      <w:pPr>
        <w:jc w:val="both"/>
      </w:pPr>
      <w:r w:rsidRPr="00DF0CD6">
        <w:t xml:space="preserve">This report focuses on the reform of student financial aid in Chile, however the present annex deals both with direct funding for education institutions and indirect funding through students. Policy choices regarding both kinds of funding complement each other in reaching the goals set by governments, and there are inherent tradeoffs in changing the relative allocation of resources between direct funding to institutions and indirect funding via students and their families. It is therefore important to understand student financial aid schemes in the broader context of public funding for tertiary education. </w:t>
      </w:r>
    </w:p>
    <w:p w:rsidR="006357C5" w:rsidRDefault="006357C5" w:rsidP="006357C5">
      <w:pPr>
        <w:jc w:val="both"/>
      </w:pPr>
    </w:p>
    <w:p w:rsidR="006357C5" w:rsidRDefault="006357C5" w:rsidP="006357C5">
      <w:pPr>
        <w:jc w:val="both"/>
      </w:pPr>
      <w:r w:rsidRPr="00DF0CD6">
        <w:t xml:space="preserve">Countries differ in their approach to funding tertiary education. One of the key differences is the share of public funds that is allocated directly to tertiary education institutions relative to the share allocated to students and households. </w:t>
      </w:r>
      <w:r>
        <w:t xml:space="preserve">Table 45 </w:t>
      </w:r>
      <w:r w:rsidRPr="00DF0CD6">
        <w:t xml:space="preserve">shows the respective shares for these two types of expenditures for OECD countries. The 2010 edition of the OECD’s Education at a Glance provides a taxonomy of approaches to funding tertiary education in OECD and partner countries. This taxonomy is very helpful in understanding the different approaches to financing tertiary education, as well as the tradeoffs that arise when choosing the level of cost-sharing in the system, the availability of public subsidies for students, the level of government funding for institutions and the level of income taxes in a country. This taxonomy is reproduced in Box </w:t>
      </w:r>
      <w:r>
        <w:t>4</w:t>
      </w:r>
      <w:r w:rsidRPr="00DF0CD6">
        <w:t xml:space="preserve"> at the end of this annex.</w:t>
      </w:r>
    </w:p>
    <w:p w:rsidR="006357C5" w:rsidRDefault="006357C5" w:rsidP="006357C5">
      <w:pPr>
        <w:jc w:val="both"/>
      </w:pPr>
    </w:p>
    <w:p w:rsidR="006357C5" w:rsidRDefault="006357C5" w:rsidP="006357C5">
      <w:pPr>
        <w:rPr>
          <w:b/>
        </w:rPr>
      </w:pPr>
      <w:r>
        <w:rPr>
          <w:b/>
        </w:rPr>
        <w:br w:type="page"/>
      </w:r>
    </w:p>
    <w:p w:rsidR="006357C5" w:rsidRDefault="006357C5" w:rsidP="006357C5">
      <w:pPr>
        <w:pStyle w:val="TableHeading"/>
      </w:pPr>
      <w:bookmarkStart w:id="8" w:name="_Toc328382207"/>
      <w:bookmarkStart w:id="9" w:name="_Toc328742891"/>
      <w:r w:rsidRPr="00DF0CD6">
        <w:lastRenderedPageBreak/>
        <w:t xml:space="preserve">Table </w:t>
      </w:r>
      <w:r>
        <w:t>45</w:t>
      </w:r>
      <w:r w:rsidRPr="00DF0CD6">
        <w:t>: Direct public expenditure on educational institutions and subsidies for households and other private entities as a percentage of total public expenditure on tertiary education (2007)</w:t>
      </w:r>
      <w:bookmarkEnd w:id="8"/>
      <w:bookmarkEnd w:id="9"/>
    </w:p>
    <w:p w:rsidR="006357C5" w:rsidRDefault="006357C5" w:rsidP="006357C5">
      <w:pPr>
        <w:pStyle w:val="TableHeading"/>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4"/>
        <w:gridCol w:w="1325"/>
        <w:gridCol w:w="2613"/>
        <w:gridCol w:w="3014"/>
      </w:tblGrid>
      <w:tr w:rsidR="006357C5" w:rsidRPr="00DC71B4" w:rsidTr="002554CF">
        <w:trPr>
          <w:trHeight w:val="266"/>
          <w:jc w:val="center"/>
        </w:trPr>
        <w:tc>
          <w:tcPr>
            <w:tcW w:w="0" w:type="auto"/>
            <w:shd w:val="pct20" w:color="000000" w:fill="FFFFFF"/>
            <w:noWrap/>
            <w:vAlign w:val="bottom"/>
          </w:tcPr>
          <w:p w:rsidR="006357C5" w:rsidRPr="00DC71B4" w:rsidRDefault="006357C5" w:rsidP="002554CF">
            <w:pPr>
              <w:rPr>
                <w:b/>
                <w:sz w:val="16"/>
                <w:szCs w:val="16"/>
              </w:rPr>
            </w:pPr>
            <w:r w:rsidRPr="00DC71B4">
              <w:rPr>
                <w:b/>
                <w:sz w:val="16"/>
                <w:szCs w:val="16"/>
              </w:rPr>
              <w:t> </w:t>
            </w:r>
          </w:p>
        </w:tc>
        <w:tc>
          <w:tcPr>
            <w:tcW w:w="0" w:type="auto"/>
            <w:shd w:val="pct20" w:color="000000" w:fill="FFFFFF"/>
            <w:noWrap/>
            <w:vAlign w:val="bottom"/>
          </w:tcPr>
          <w:p w:rsidR="006357C5" w:rsidRPr="00DC71B4" w:rsidRDefault="006357C5" w:rsidP="002554CF">
            <w:pPr>
              <w:rPr>
                <w:b/>
                <w:sz w:val="16"/>
                <w:szCs w:val="16"/>
              </w:rPr>
            </w:pPr>
            <w:r w:rsidRPr="00DC71B4">
              <w:rPr>
                <w:b/>
                <w:sz w:val="16"/>
                <w:szCs w:val="16"/>
              </w:rPr>
              <w:t>Notes</w:t>
            </w:r>
          </w:p>
        </w:tc>
        <w:tc>
          <w:tcPr>
            <w:tcW w:w="0" w:type="auto"/>
            <w:shd w:val="pct20" w:color="000000" w:fill="FFFFFF"/>
            <w:vAlign w:val="bottom"/>
          </w:tcPr>
          <w:p w:rsidR="006357C5" w:rsidRPr="00DC71B4" w:rsidRDefault="006357C5" w:rsidP="002554CF">
            <w:pPr>
              <w:rPr>
                <w:b/>
                <w:sz w:val="16"/>
                <w:szCs w:val="16"/>
              </w:rPr>
            </w:pPr>
            <w:r w:rsidRPr="00DC71B4">
              <w:rPr>
                <w:b/>
                <w:sz w:val="16"/>
                <w:szCs w:val="16"/>
              </w:rPr>
              <w:t>Direct public expenditure for institutions</w:t>
            </w:r>
          </w:p>
        </w:tc>
        <w:tc>
          <w:tcPr>
            <w:tcW w:w="0" w:type="auto"/>
            <w:shd w:val="pct20" w:color="000000" w:fill="FFFFFF"/>
            <w:vAlign w:val="bottom"/>
          </w:tcPr>
          <w:p w:rsidR="006357C5" w:rsidRPr="00DC71B4" w:rsidRDefault="006357C5" w:rsidP="002554CF">
            <w:pPr>
              <w:rPr>
                <w:b/>
                <w:sz w:val="16"/>
                <w:szCs w:val="16"/>
              </w:rPr>
            </w:pPr>
            <w:r w:rsidRPr="00DC71B4">
              <w:rPr>
                <w:b/>
                <w:sz w:val="16"/>
                <w:szCs w:val="16"/>
              </w:rPr>
              <w:t>Public subsidies for education to private entities</w:t>
            </w:r>
            <w:r w:rsidRPr="00DC71B4">
              <w:rPr>
                <w:b/>
                <w:sz w:val="16"/>
                <w:szCs w:val="16"/>
                <w:vertAlign w:val="superscript"/>
              </w:rPr>
              <w:t>5</w:t>
            </w:r>
          </w:p>
        </w:tc>
      </w:tr>
      <w:tr w:rsidR="006357C5" w:rsidRPr="00DC71B4" w:rsidTr="002554CF">
        <w:trPr>
          <w:trHeight w:val="267"/>
          <w:jc w:val="center"/>
        </w:trPr>
        <w:tc>
          <w:tcPr>
            <w:tcW w:w="0" w:type="auto"/>
            <w:shd w:val="pct5" w:color="000000" w:fill="FFFFFF"/>
            <w:noWrap/>
            <w:vAlign w:val="bottom"/>
          </w:tcPr>
          <w:p w:rsidR="006357C5" w:rsidRPr="00DC71B4" w:rsidRDefault="006357C5" w:rsidP="002554CF">
            <w:pPr>
              <w:rPr>
                <w:b/>
                <w:sz w:val="16"/>
                <w:szCs w:val="16"/>
              </w:rPr>
            </w:pPr>
            <w:r w:rsidRPr="00DC71B4">
              <w:rPr>
                <w:b/>
                <w:sz w:val="16"/>
                <w:szCs w:val="16"/>
              </w:rPr>
              <w:t>OECD countries</w:t>
            </w:r>
          </w:p>
        </w:tc>
        <w:tc>
          <w:tcPr>
            <w:tcW w:w="0" w:type="auto"/>
            <w:shd w:val="pct5" w:color="000000" w:fill="FFFFFF"/>
            <w:vAlign w:val="center"/>
          </w:tcPr>
          <w:p w:rsidR="006357C5" w:rsidRPr="00DC71B4" w:rsidRDefault="006357C5" w:rsidP="002554CF">
            <w:pPr>
              <w:rPr>
                <w:sz w:val="16"/>
                <w:szCs w:val="16"/>
              </w:rPr>
            </w:pPr>
            <w:r w:rsidRPr="00DC71B4">
              <w:rPr>
                <w:sz w:val="16"/>
                <w:szCs w:val="16"/>
              </w:rPr>
              <w:t> </w:t>
            </w:r>
          </w:p>
        </w:tc>
        <w:tc>
          <w:tcPr>
            <w:tcW w:w="0" w:type="auto"/>
            <w:shd w:val="pct5" w:color="000000" w:fill="FFFFFF"/>
            <w:vAlign w:val="bottom"/>
          </w:tcPr>
          <w:p w:rsidR="006357C5" w:rsidRPr="00DC71B4" w:rsidRDefault="006357C5" w:rsidP="002554CF">
            <w:pPr>
              <w:rPr>
                <w:sz w:val="16"/>
                <w:szCs w:val="16"/>
              </w:rPr>
            </w:pPr>
            <w:r w:rsidRPr="00DC71B4">
              <w:rPr>
                <w:sz w:val="16"/>
                <w:szCs w:val="16"/>
              </w:rPr>
              <w:t> </w:t>
            </w:r>
          </w:p>
        </w:tc>
        <w:tc>
          <w:tcPr>
            <w:tcW w:w="0" w:type="auto"/>
            <w:shd w:val="pct5" w:color="000000" w:fill="FFFFFF"/>
            <w:vAlign w:val="bottom"/>
          </w:tcPr>
          <w:p w:rsidR="006357C5" w:rsidRPr="00DC71B4" w:rsidRDefault="006357C5" w:rsidP="002554CF">
            <w:pPr>
              <w:rPr>
                <w:sz w:val="16"/>
                <w:szCs w:val="16"/>
              </w:rPr>
            </w:pPr>
            <w:r w:rsidRPr="00DC71B4">
              <w:rPr>
                <w:sz w:val="16"/>
                <w:szCs w:val="16"/>
              </w:rPr>
              <w:t> </w:t>
            </w:r>
          </w:p>
        </w:tc>
      </w:tr>
      <w:tr w:rsidR="006357C5" w:rsidRPr="00DC71B4" w:rsidTr="002554CF">
        <w:trPr>
          <w:trHeight w:val="267"/>
          <w:jc w:val="center"/>
        </w:trPr>
        <w:tc>
          <w:tcPr>
            <w:tcW w:w="0" w:type="auto"/>
            <w:shd w:val="pct20" w:color="000000" w:fill="FFFFFF"/>
            <w:noWrap/>
            <w:vAlign w:val="bottom"/>
          </w:tcPr>
          <w:p w:rsidR="006357C5" w:rsidRPr="00DC71B4" w:rsidRDefault="006357C5" w:rsidP="002554CF">
            <w:pPr>
              <w:rPr>
                <w:sz w:val="16"/>
                <w:szCs w:val="16"/>
              </w:rPr>
            </w:pPr>
            <w:r w:rsidRPr="00DC71B4">
              <w:rPr>
                <w:sz w:val="16"/>
                <w:szCs w:val="16"/>
              </w:rPr>
              <w:t>Australia</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 </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68.6</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31.4</w:t>
            </w:r>
          </w:p>
        </w:tc>
      </w:tr>
      <w:tr w:rsidR="006357C5" w:rsidRPr="00DC71B4" w:rsidTr="002554CF">
        <w:trPr>
          <w:trHeight w:val="266"/>
          <w:jc w:val="center"/>
        </w:trPr>
        <w:tc>
          <w:tcPr>
            <w:tcW w:w="0" w:type="auto"/>
            <w:shd w:val="pct5" w:color="000000" w:fill="FFFFFF"/>
            <w:noWrap/>
            <w:vAlign w:val="bottom"/>
          </w:tcPr>
          <w:p w:rsidR="006357C5" w:rsidRPr="00DC71B4" w:rsidRDefault="006357C5" w:rsidP="002554CF">
            <w:pPr>
              <w:rPr>
                <w:sz w:val="16"/>
                <w:szCs w:val="16"/>
              </w:rPr>
            </w:pPr>
            <w:r w:rsidRPr="00DC71B4">
              <w:rPr>
                <w:sz w:val="16"/>
                <w:szCs w:val="16"/>
              </w:rPr>
              <w:t>Austria</w:t>
            </w:r>
          </w:p>
        </w:tc>
        <w:tc>
          <w:tcPr>
            <w:tcW w:w="0" w:type="auto"/>
            <w:shd w:val="pct5" w:color="000000" w:fill="FFFFFF"/>
            <w:noWrap/>
            <w:vAlign w:val="bottom"/>
          </w:tcPr>
          <w:p w:rsidR="006357C5" w:rsidRPr="00DC71B4" w:rsidRDefault="006357C5" w:rsidP="002554CF">
            <w:pPr>
              <w:rPr>
                <w:sz w:val="16"/>
                <w:szCs w:val="16"/>
              </w:rPr>
            </w:pPr>
            <w:r w:rsidRPr="00DC71B4">
              <w:rPr>
                <w:sz w:val="16"/>
                <w:szCs w:val="16"/>
              </w:rPr>
              <w:t> </w:t>
            </w:r>
          </w:p>
        </w:tc>
        <w:tc>
          <w:tcPr>
            <w:tcW w:w="0" w:type="auto"/>
            <w:shd w:val="pct5" w:color="000000" w:fill="FFFFFF"/>
            <w:noWrap/>
            <w:vAlign w:val="bottom"/>
          </w:tcPr>
          <w:p w:rsidR="006357C5" w:rsidRPr="00DC71B4" w:rsidRDefault="006357C5" w:rsidP="002554CF">
            <w:pPr>
              <w:rPr>
                <w:sz w:val="16"/>
                <w:szCs w:val="16"/>
              </w:rPr>
            </w:pPr>
            <w:r w:rsidRPr="00DC71B4">
              <w:rPr>
                <w:sz w:val="16"/>
                <w:szCs w:val="16"/>
              </w:rPr>
              <w:t>76.5</w:t>
            </w:r>
          </w:p>
        </w:tc>
        <w:tc>
          <w:tcPr>
            <w:tcW w:w="0" w:type="auto"/>
            <w:shd w:val="pct5" w:color="000000" w:fill="FFFFFF"/>
            <w:noWrap/>
            <w:vAlign w:val="bottom"/>
          </w:tcPr>
          <w:p w:rsidR="006357C5" w:rsidRPr="00DC71B4" w:rsidRDefault="006357C5" w:rsidP="002554CF">
            <w:pPr>
              <w:rPr>
                <w:sz w:val="16"/>
                <w:szCs w:val="16"/>
              </w:rPr>
            </w:pPr>
            <w:r w:rsidRPr="00DC71B4">
              <w:rPr>
                <w:sz w:val="16"/>
                <w:szCs w:val="16"/>
              </w:rPr>
              <w:t>23.5</w:t>
            </w:r>
          </w:p>
        </w:tc>
      </w:tr>
      <w:tr w:rsidR="006357C5" w:rsidRPr="00DC71B4" w:rsidTr="002554CF">
        <w:trPr>
          <w:trHeight w:val="267"/>
          <w:jc w:val="center"/>
        </w:trPr>
        <w:tc>
          <w:tcPr>
            <w:tcW w:w="0" w:type="auto"/>
            <w:shd w:val="pct20" w:color="000000" w:fill="FFFFFF"/>
            <w:noWrap/>
            <w:vAlign w:val="bottom"/>
          </w:tcPr>
          <w:p w:rsidR="006357C5" w:rsidRPr="00DC71B4" w:rsidRDefault="006357C5" w:rsidP="002554CF">
            <w:pPr>
              <w:rPr>
                <w:sz w:val="16"/>
                <w:szCs w:val="16"/>
              </w:rPr>
            </w:pPr>
            <w:r w:rsidRPr="00DC71B4">
              <w:rPr>
                <w:sz w:val="16"/>
                <w:szCs w:val="16"/>
              </w:rPr>
              <w:t>Belgium</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 </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85.8</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14.2</w:t>
            </w:r>
          </w:p>
        </w:tc>
      </w:tr>
      <w:tr w:rsidR="006357C5" w:rsidRPr="00DC71B4" w:rsidTr="002554CF">
        <w:trPr>
          <w:trHeight w:val="267"/>
          <w:jc w:val="center"/>
        </w:trPr>
        <w:tc>
          <w:tcPr>
            <w:tcW w:w="0" w:type="auto"/>
            <w:shd w:val="pct5" w:color="000000" w:fill="FFFFFF"/>
            <w:noWrap/>
            <w:vAlign w:val="bottom"/>
          </w:tcPr>
          <w:p w:rsidR="006357C5" w:rsidRPr="00DC71B4" w:rsidRDefault="006357C5" w:rsidP="002554CF">
            <w:pPr>
              <w:rPr>
                <w:sz w:val="16"/>
                <w:szCs w:val="16"/>
              </w:rPr>
            </w:pPr>
            <w:r w:rsidRPr="00DC71B4">
              <w:rPr>
                <w:sz w:val="16"/>
                <w:szCs w:val="16"/>
              </w:rPr>
              <w:t>Canada</w:t>
            </w:r>
          </w:p>
        </w:tc>
        <w:tc>
          <w:tcPr>
            <w:tcW w:w="0" w:type="auto"/>
            <w:shd w:val="pct5" w:color="000000" w:fill="FFFFFF"/>
            <w:noWrap/>
            <w:vAlign w:val="bottom"/>
          </w:tcPr>
          <w:p w:rsidR="006357C5" w:rsidRPr="00DC71B4" w:rsidRDefault="006357C5" w:rsidP="002554CF">
            <w:pPr>
              <w:rPr>
                <w:sz w:val="16"/>
                <w:szCs w:val="16"/>
              </w:rPr>
            </w:pPr>
            <w:r w:rsidRPr="00DC71B4">
              <w:rPr>
                <w:sz w:val="16"/>
                <w:szCs w:val="16"/>
              </w:rPr>
              <w:t>1</w:t>
            </w:r>
          </w:p>
        </w:tc>
        <w:tc>
          <w:tcPr>
            <w:tcW w:w="0" w:type="auto"/>
            <w:shd w:val="pct5" w:color="000000" w:fill="FFFFFF"/>
            <w:noWrap/>
            <w:vAlign w:val="bottom"/>
          </w:tcPr>
          <w:p w:rsidR="006357C5" w:rsidRPr="00DC71B4" w:rsidRDefault="006357C5" w:rsidP="002554CF">
            <w:pPr>
              <w:rPr>
                <w:sz w:val="16"/>
                <w:szCs w:val="16"/>
              </w:rPr>
            </w:pPr>
            <w:r w:rsidRPr="00DC71B4">
              <w:rPr>
                <w:sz w:val="16"/>
                <w:szCs w:val="16"/>
              </w:rPr>
              <w:t>82.6</w:t>
            </w:r>
          </w:p>
        </w:tc>
        <w:tc>
          <w:tcPr>
            <w:tcW w:w="0" w:type="auto"/>
            <w:shd w:val="pct5" w:color="000000" w:fill="FFFFFF"/>
            <w:noWrap/>
            <w:vAlign w:val="bottom"/>
          </w:tcPr>
          <w:p w:rsidR="006357C5" w:rsidRPr="00DC71B4" w:rsidRDefault="006357C5" w:rsidP="002554CF">
            <w:pPr>
              <w:rPr>
                <w:sz w:val="16"/>
                <w:szCs w:val="16"/>
              </w:rPr>
            </w:pPr>
            <w:r w:rsidRPr="00DC71B4">
              <w:rPr>
                <w:sz w:val="16"/>
                <w:szCs w:val="16"/>
              </w:rPr>
              <w:t>17.4</w:t>
            </w:r>
          </w:p>
        </w:tc>
      </w:tr>
      <w:tr w:rsidR="006357C5" w:rsidRPr="00DC71B4" w:rsidTr="002554CF">
        <w:trPr>
          <w:trHeight w:val="266"/>
          <w:jc w:val="center"/>
        </w:trPr>
        <w:tc>
          <w:tcPr>
            <w:tcW w:w="0" w:type="auto"/>
            <w:shd w:val="pct20" w:color="000000" w:fill="FFFFFF"/>
            <w:noWrap/>
            <w:vAlign w:val="bottom"/>
          </w:tcPr>
          <w:p w:rsidR="006357C5" w:rsidRPr="00DC71B4" w:rsidRDefault="006357C5" w:rsidP="002554CF">
            <w:pPr>
              <w:rPr>
                <w:sz w:val="16"/>
                <w:szCs w:val="16"/>
              </w:rPr>
            </w:pPr>
            <w:r w:rsidRPr="00DC71B4">
              <w:rPr>
                <w:sz w:val="16"/>
                <w:szCs w:val="16"/>
              </w:rPr>
              <w:t>Chile</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2</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48.8</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51.2</w:t>
            </w:r>
          </w:p>
        </w:tc>
      </w:tr>
      <w:tr w:rsidR="006357C5" w:rsidRPr="00DC71B4" w:rsidTr="002554CF">
        <w:trPr>
          <w:trHeight w:val="267"/>
          <w:jc w:val="center"/>
        </w:trPr>
        <w:tc>
          <w:tcPr>
            <w:tcW w:w="0" w:type="auto"/>
            <w:shd w:val="pct5" w:color="000000" w:fill="FFFFFF"/>
            <w:noWrap/>
            <w:vAlign w:val="bottom"/>
          </w:tcPr>
          <w:p w:rsidR="006357C5" w:rsidRPr="00DC71B4" w:rsidRDefault="006357C5" w:rsidP="002554CF">
            <w:pPr>
              <w:rPr>
                <w:sz w:val="16"/>
                <w:szCs w:val="16"/>
              </w:rPr>
            </w:pPr>
            <w:r w:rsidRPr="00DC71B4">
              <w:rPr>
                <w:sz w:val="16"/>
                <w:szCs w:val="16"/>
              </w:rPr>
              <w:t>Czech Republic</w:t>
            </w:r>
          </w:p>
        </w:tc>
        <w:tc>
          <w:tcPr>
            <w:tcW w:w="0" w:type="auto"/>
            <w:shd w:val="pct5" w:color="000000" w:fill="FFFFFF"/>
            <w:noWrap/>
            <w:vAlign w:val="bottom"/>
          </w:tcPr>
          <w:p w:rsidR="006357C5" w:rsidRPr="00DC71B4" w:rsidRDefault="006357C5" w:rsidP="002554CF">
            <w:pPr>
              <w:rPr>
                <w:sz w:val="16"/>
                <w:szCs w:val="16"/>
              </w:rPr>
            </w:pPr>
            <w:r w:rsidRPr="00DC71B4">
              <w:rPr>
                <w:sz w:val="16"/>
                <w:szCs w:val="16"/>
              </w:rPr>
              <w:t> </w:t>
            </w:r>
          </w:p>
        </w:tc>
        <w:tc>
          <w:tcPr>
            <w:tcW w:w="0" w:type="auto"/>
            <w:shd w:val="pct5" w:color="000000" w:fill="FFFFFF"/>
            <w:noWrap/>
            <w:vAlign w:val="bottom"/>
          </w:tcPr>
          <w:p w:rsidR="006357C5" w:rsidRPr="00DC71B4" w:rsidRDefault="006357C5" w:rsidP="002554CF">
            <w:pPr>
              <w:rPr>
                <w:sz w:val="16"/>
                <w:szCs w:val="16"/>
              </w:rPr>
            </w:pPr>
            <w:r w:rsidRPr="00DC71B4">
              <w:rPr>
                <w:sz w:val="16"/>
                <w:szCs w:val="16"/>
              </w:rPr>
              <w:t>95.8</w:t>
            </w:r>
          </w:p>
        </w:tc>
        <w:tc>
          <w:tcPr>
            <w:tcW w:w="0" w:type="auto"/>
            <w:shd w:val="pct5" w:color="000000" w:fill="FFFFFF"/>
            <w:noWrap/>
            <w:vAlign w:val="bottom"/>
          </w:tcPr>
          <w:p w:rsidR="006357C5" w:rsidRPr="00DC71B4" w:rsidRDefault="006357C5" w:rsidP="002554CF">
            <w:pPr>
              <w:rPr>
                <w:sz w:val="16"/>
                <w:szCs w:val="16"/>
              </w:rPr>
            </w:pPr>
            <w:r w:rsidRPr="00DC71B4">
              <w:rPr>
                <w:sz w:val="16"/>
                <w:szCs w:val="16"/>
              </w:rPr>
              <w:t>4.2</w:t>
            </w:r>
          </w:p>
        </w:tc>
      </w:tr>
      <w:tr w:rsidR="006357C5" w:rsidRPr="00DC71B4" w:rsidTr="002554CF">
        <w:trPr>
          <w:trHeight w:val="267"/>
          <w:jc w:val="center"/>
        </w:trPr>
        <w:tc>
          <w:tcPr>
            <w:tcW w:w="0" w:type="auto"/>
            <w:shd w:val="pct20" w:color="000000" w:fill="FFFFFF"/>
            <w:noWrap/>
            <w:vAlign w:val="bottom"/>
          </w:tcPr>
          <w:p w:rsidR="006357C5" w:rsidRPr="00DC71B4" w:rsidRDefault="006357C5" w:rsidP="002554CF">
            <w:pPr>
              <w:rPr>
                <w:sz w:val="16"/>
                <w:szCs w:val="16"/>
              </w:rPr>
            </w:pPr>
            <w:r w:rsidRPr="00DC71B4">
              <w:rPr>
                <w:sz w:val="16"/>
                <w:szCs w:val="16"/>
              </w:rPr>
              <w:t>Denmark</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 </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72.0</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28.0</w:t>
            </w:r>
          </w:p>
        </w:tc>
      </w:tr>
      <w:tr w:rsidR="006357C5" w:rsidRPr="00DC71B4" w:rsidTr="002554CF">
        <w:trPr>
          <w:trHeight w:val="266"/>
          <w:jc w:val="center"/>
        </w:trPr>
        <w:tc>
          <w:tcPr>
            <w:tcW w:w="0" w:type="auto"/>
            <w:shd w:val="pct5" w:color="000000" w:fill="FFFFFF"/>
            <w:noWrap/>
            <w:vAlign w:val="bottom"/>
          </w:tcPr>
          <w:p w:rsidR="006357C5" w:rsidRPr="00DC71B4" w:rsidRDefault="006357C5" w:rsidP="002554CF">
            <w:pPr>
              <w:rPr>
                <w:sz w:val="16"/>
                <w:szCs w:val="16"/>
              </w:rPr>
            </w:pPr>
            <w:r w:rsidRPr="00DC71B4">
              <w:rPr>
                <w:sz w:val="16"/>
                <w:szCs w:val="16"/>
              </w:rPr>
              <w:t>Finland</w:t>
            </w:r>
          </w:p>
        </w:tc>
        <w:tc>
          <w:tcPr>
            <w:tcW w:w="0" w:type="auto"/>
            <w:shd w:val="pct5" w:color="000000" w:fill="FFFFFF"/>
            <w:noWrap/>
            <w:vAlign w:val="bottom"/>
          </w:tcPr>
          <w:p w:rsidR="006357C5" w:rsidRPr="00DC71B4" w:rsidRDefault="006357C5" w:rsidP="002554CF">
            <w:pPr>
              <w:rPr>
                <w:sz w:val="16"/>
                <w:szCs w:val="16"/>
              </w:rPr>
            </w:pPr>
            <w:r w:rsidRPr="00DC71B4">
              <w:rPr>
                <w:sz w:val="16"/>
                <w:szCs w:val="16"/>
              </w:rPr>
              <w:t> </w:t>
            </w:r>
          </w:p>
        </w:tc>
        <w:tc>
          <w:tcPr>
            <w:tcW w:w="0" w:type="auto"/>
            <w:shd w:val="pct5" w:color="000000" w:fill="FFFFFF"/>
            <w:noWrap/>
            <w:vAlign w:val="bottom"/>
          </w:tcPr>
          <w:p w:rsidR="006357C5" w:rsidRPr="00DC71B4" w:rsidRDefault="006357C5" w:rsidP="002554CF">
            <w:pPr>
              <w:rPr>
                <w:sz w:val="16"/>
                <w:szCs w:val="16"/>
              </w:rPr>
            </w:pPr>
            <w:r w:rsidRPr="00DC71B4">
              <w:rPr>
                <w:sz w:val="16"/>
                <w:szCs w:val="16"/>
              </w:rPr>
              <w:t>84.3</w:t>
            </w:r>
          </w:p>
        </w:tc>
        <w:tc>
          <w:tcPr>
            <w:tcW w:w="0" w:type="auto"/>
            <w:shd w:val="pct5" w:color="000000" w:fill="FFFFFF"/>
            <w:noWrap/>
            <w:vAlign w:val="bottom"/>
          </w:tcPr>
          <w:p w:rsidR="006357C5" w:rsidRPr="00DC71B4" w:rsidRDefault="006357C5" w:rsidP="002554CF">
            <w:pPr>
              <w:rPr>
                <w:sz w:val="16"/>
                <w:szCs w:val="16"/>
              </w:rPr>
            </w:pPr>
            <w:r w:rsidRPr="00DC71B4">
              <w:rPr>
                <w:sz w:val="16"/>
                <w:szCs w:val="16"/>
              </w:rPr>
              <w:t>15.7</w:t>
            </w:r>
          </w:p>
        </w:tc>
      </w:tr>
      <w:tr w:rsidR="006357C5" w:rsidRPr="00DC71B4" w:rsidTr="002554CF">
        <w:trPr>
          <w:trHeight w:val="267"/>
          <w:jc w:val="center"/>
        </w:trPr>
        <w:tc>
          <w:tcPr>
            <w:tcW w:w="0" w:type="auto"/>
            <w:shd w:val="pct20" w:color="000000" w:fill="FFFFFF"/>
            <w:noWrap/>
            <w:vAlign w:val="bottom"/>
          </w:tcPr>
          <w:p w:rsidR="006357C5" w:rsidRPr="00DC71B4" w:rsidRDefault="006357C5" w:rsidP="002554CF">
            <w:pPr>
              <w:rPr>
                <w:sz w:val="16"/>
                <w:szCs w:val="16"/>
              </w:rPr>
            </w:pPr>
            <w:r w:rsidRPr="00DC71B4">
              <w:rPr>
                <w:sz w:val="16"/>
                <w:szCs w:val="16"/>
              </w:rPr>
              <w:t>France</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 </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93.0</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7.0</w:t>
            </w:r>
          </w:p>
        </w:tc>
      </w:tr>
      <w:tr w:rsidR="006357C5" w:rsidRPr="00DC71B4" w:rsidTr="002554CF">
        <w:trPr>
          <w:trHeight w:val="267"/>
          <w:jc w:val="center"/>
        </w:trPr>
        <w:tc>
          <w:tcPr>
            <w:tcW w:w="0" w:type="auto"/>
            <w:shd w:val="pct5" w:color="000000" w:fill="FFFFFF"/>
            <w:noWrap/>
            <w:vAlign w:val="bottom"/>
          </w:tcPr>
          <w:p w:rsidR="006357C5" w:rsidRPr="00DC71B4" w:rsidRDefault="006357C5" w:rsidP="002554CF">
            <w:pPr>
              <w:rPr>
                <w:sz w:val="16"/>
                <w:szCs w:val="16"/>
              </w:rPr>
            </w:pPr>
            <w:r w:rsidRPr="00DC71B4">
              <w:rPr>
                <w:sz w:val="16"/>
                <w:szCs w:val="16"/>
              </w:rPr>
              <w:t>Germany</w:t>
            </w:r>
          </w:p>
        </w:tc>
        <w:tc>
          <w:tcPr>
            <w:tcW w:w="0" w:type="auto"/>
            <w:shd w:val="pct5" w:color="000000" w:fill="FFFFFF"/>
            <w:noWrap/>
            <w:vAlign w:val="bottom"/>
          </w:tcPr>
          <w:p w:rsidR="006357C5" w:rsidRPr="00DC71B4" w:rsidRDefault="006357C5" w:rsidP="002554CF">
            <w:pPr>
              <w:rPr>
                <w:sz w:val="16"/>
                <w:szCs w:val="16"/>
              </w:rPr>
            </w:pPr>
            <w:r w:rsidRPr="00DC71B4">
              <w:rPr>
                <w:sz w:val="16"/>
                <w:szCs w:val="16"/>
              </w:rPr>
              <w:t> </w:t>
            </w:r>
          </w:p>
        </w:tc>
        <w:tc>
          <w:tcPr>
            <w:tcW w:w="0" w:type="auto"/>
            <w:shd w:val="pct5" w:color="000000" w:fill="FFFFFF"/>
            <w:noWrap/>
            <w:vAlign w:val="bottom"/>
          </w:tcPr>
          <w:p w:rsidR="006357C5" w:rsidRPr="00DC71B4" w:rsidRDefault="006357C5" w:rsidP="002554CF">
            <w:pPr>
              <w:rPr>
                <w:sz w:val="16"/>
                <w:szCs w:val="16"/>
              </w:rPr>
            </w:pPr>
            <w:r w:rsidRPr="00DC71B4">
              <w:rPr>
                <w:sz w:val="16"/>
                <w:szCs w:val="16"/>
              </w:rPr>
              <w:t>78.1</w:t>
            </w:r>
          </w:p>
        </w:tc>
        <w:tc>
          <w:tcPr>
            <w:tcW w:w="0" w:type="auto"/>
            <w:shd w:val="pct5" w:color="000000" w:fill="FFFFFF"/>
            <w:noWrap/>
            <w:vAlign w:val="bottom"/>
          </w:tcPr>
          <w:p w:rsidR="006357C5" w:rsidRPr="00DC71B4" w:rsidRDefault="006357C5" w:rsidP="002554CF">
            <w:pPr>
              <w:rPr>
                <w:sz w:val="16"/>
                <w:szCs w:val="16"/>
              </w:rPr>
            </w:pPr>
            <w:r w:rsidRPr="00DC71B4">
              <w:rPr>
                <w:sz w:val="16"/>
                <w:szCs w:val="16"/>
              </w:rPr>
              <w:t>21.9</w:t>
            </w:r>
          </w:p>
        </w:tc>
      </w:tr>
      <w:tr w:rsidR="006357C5" w:rsidRPr="00DC71B4" w:rsidTr="002554CF">
        <w:trPr>
          <w:trHeight w:val="266"/>
          <w:jc w:val="center"/>
        </w:trPr>
        <w:tc>
          <w:tcPr>
            <w:tcW w:w="0" w:type="auto"/>
            <w:shd w:val="pct20" w:color="000000" w:fill="FFFFFF"/>
            <w:noWrap/>
            <w:vAlign w:val="bottom"/>
          </w:tcPr>
          <w:p w:rsidR="006357C5" w:rsidRPr="00DC71B4" w:rsidRDefault="006357C5" w:rsidP="002554CF">
            <w:pPr>
              <w:rPr>
                <w:sz w:val="16"/>
                <w:szCs w:val="16"/>
              </w:rPr>
            </w:pPr>
            <w:r w:rsidRPr="00DC71B4">
              <w:rPr>
                <w:sz w:val="16"/>
                <w:szCs w:val="16"/>
              </w:rPr>
              <w:t>Greece</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 </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m</w:t>
            </w:r>
          </w:p>
        </w:tc>
        <w:tc>
          <w:tcPr>
            <w:tcW w:w="0" w:type="auto"/>
            <w:shd w:val="pct20" w:color="000000" w:fill="FFFFFF"/>
            <w:noWrap/>
            <w:vAlign w:val="bottom"/>
          </w:tcPr>
          <w:p w:rsidR="006357C5" w:rsidRPr="00DC71B4" w:rsidRDefault="006357C5" w:rsidP="002554CF">
            <w:pPr>
              <w:rPr>
                <w:sz w:val="16"/>
                <w:szCs w:val="16"/>
              </w:rPr>
            </w:pPr>
            <w:r w:rsidRPr="00DC71B4">
              <w:rPr>
                <w:sz w:val="16"/>
                <w:szCs w:val="16"/>
              </w:rPr>
              <w:t>m</w:t>
            </w:r>
          </w:p>
        </w:tc>
      </w:tr>
      <w:tr w:rsidR="006357C5" w:rsidRPr="00DC71B4" w:rsidTr="002554CF">
        <w:trPr>
          <w:trHeight w:val="267"/>
          <w:jc w:val="center"/>
        </w:trPr>
        <w:tc>
          <w:tcPr>
            <w:tcW w:w="0" w:type="auto"/>
            <w:shd w:val="pct5" w:color="000000" w:fill="FFFFFF"/>
            <w:noWrap/>
            <w:vAlign w:val="bottom"/>
          </w:tcPr>
          <w:p w:rsidR="006357C5" w:rsidRPr="00DC71B4" w:rsidRDefault="006357C5" w:rsidP="002554CF">
            <w:pPr>
              <w:rPr>
                <w:sz w:val="16"/>
                <w:szCs w:val="16"/>
              </w:rPr>
            </w:pPr>
            <w:r w:rsidRPr="00DC71B4">
              <w:rPr>
                <w:sz w:val="16"/>
                <w:szCs w:val="16"/>
              </w:rPr>
              <w:t>Hungary</w:t>
            </w:r>
          </w:p>
        </w:tc>
        <w:tc>
          <w:tcPr>
            <w:tcW w:w="0" w:type="auto"/>
            <w:shd w:val="pct5" w:color="000000" w:fill="FFFFFF"/>
            <w:noWrap/>
            <w:vAlign w:val="bottom"/>
          </w:tcPr>
          <w:p w:rsidR="006357C5" w:rsidRPr="00DC71B4" w:rsidRDefault="006357C5" w:rsidP="002554CF">
            <w:pPr>
              <w:rPr>
                <w:sz w:val="16"/>
                <w:szCs w:val="16"/>
              </w:rPr>
            </w:pPr>
            <w:r w:rsidRPr="00DC71B4">
              <w:rPr>
                <w:sz w:val="16"/>
                <w:szCs w:val="16"/>
              </w:rPr>
              <w:t> </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84.9</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15.1</w:t>
            </w:r>
          </w:p>
        </w:tc>
      </w:tr>
      <w:tr w:rsidR="006357C5" w:rsidRPr="00DC71B4" w:rsidTr="002554CF">
        <w:trPr>
          <w:trHeight w:val="267"/>
          <w:jc w:val="center"/>
        </w:trPr>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Iceland</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77.5</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22.5</w:t>
            </w:r>
          </w:p>
        </w:tc>
      </w:tr>
      <w:tr w:rsidR="006357C5" w:rsidRPr="00DC71B4" w:rsidTr="002554CF">
        <w:trPr>
          <w:trHeight w:val="266"/>
          <w:jc w:val="center"/>
        </w:trPr>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Ireland</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86.1</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13.9</w:t>
            </w:r>
          </w:p>
        </w:tc>
      </w:tr>
      <w:tr w:rsidR="006357C5" w:rsidRPr="00DC71B4" w:rsidTr="002554CF">
        <w:trPr>
          <w:trHeight w:val="267"/>
          <w:jc w:val="center"/>
        </w:trPr>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Italy</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80.4</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19.6</w:t>
            </w:r>
          </w:p>
        </w:tc>
      </w:tr>
      <w:tr w:rsidR="006357C5" w:rsidRPr="00DC71B4" w:rsidTr="002554CF">
        <w:trPr>
          <w:trHeight w:val="267"/>
          <w:jc w:val="center"/>
        </w:trPr>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Japan</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3</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75.4</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24.6</w:t>
            </w:r>
          </w:p>
        </w:tc>
      </w:tr>
      <w:tr w:rsidR="006357C5" w:rsidRPr="00DC71B4" w:rsidTr="002554CF">
        <w:trPr>
          <w:trHeight w:val="266"/>
          <w:jc w:val="center"/>
        </w:trPr>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Korea</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84.1</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15.9</w:t>
            </w:r>
          </w:p>
        </w:tc>
      </w:tr>
      <w:tr w:rsidR="006357C5" w:rsidRPr="00DC71B4" w:rsidTr="002554CF">
        <w:trPr>
          <w:trHeight w:val="267"/>
          <w:jc w:val="center"/>
        </w:trPr>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Luxembourg</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m</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m</w:t>
            </w:r>
          </w:p>
        </w:tc>
      </w:tr>
      <w:tr w:rsidR="006357C5" w:rsidRPr="00DC71B4" w:rsidTr="002554CF">
        <w:trPr>
          <w:trHeight w:val="267"/>
          <w:jc w:val="center"/>
        </w:trPr>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Mexico</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93.4</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6.6</w:t>
            </w:r>
          </w:p>
        </w:tc>
      </w:tr>
      <w:tr w:rsidR="006357C5" w:rsidRPr="00DC71B4" w:rsidTr="002554CF">
        <w:trPr>
          <w:trHeight w:val="266"/>
          <w:jc w:val="center"/>
        </w:trPr>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Netherlands</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73.1</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26.9</w:t>
            </w:r>
          </w:p>
        </w:tc>
      </w:tr>
      <w:tr w:rsidR="006357C5" w:rsidRPr="00DC71B4" w:rsidTr="002554CF">
        <w:trPr>
          <w:trHeight w:val="267"/>
          <w:jc w:val="center"/>
        </w:trPr>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New Zealand</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60.4</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39.6</w:t>
            </w:r>
          </w:p>
        </w:tc>
      </w:tr>
      <w:tr w:rsidR="006357C5" w:rsidRPr="00DC71B4" w:rsidTr="002554CF">
        <w:trPr>
          <w:trHeight w:val="267"/>
          <w:jc w:val="center"/>
        </w:trPr>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Norway</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56.2</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43.8</w:t>
            </w:r>
          </w:p>
        </w:tc>
      </w:tr>
      <w:tr w:rsidR="006357C5" w:rsidRPr="00DC71B4" w:rsidTr="002554CF">
        <w:trPr>
          <w:trHeight w:val="266"/>
          <w:jc w:val="center"/>
        </w:trPr>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Poland</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4</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98.4</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1.6</w:t>
            </w:r>
          </w:p>
        </w:tc>
      </w:tr>
      <w:tr w:rsidR="006357C5" w:rsidRPr="00DC71B4" w:rsidTr="002554CF">
        <w:trPr>
          <w:trHeight w:val="267"/>
          <w:jc w:val="center"/>
        </w:trPr>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Portugal</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88.8</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11.2</w:t>
            </w:r>
          </w:p>
        </w:tc>
      </w:tr>
      <w:tr w:rsidR="006357C5" w:rsidRPr="00DC71B4" w:rsidTr="002554CF">
        <w:trPr>
          <w:trHeight w:val="267"/>
          <w:jc w:val="center"/>
        </w:trPr>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Slovak Republic</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3</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79.4</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20.6</w:t>
            </w:r>
          </w:p>
        </w:tc>
      </w:tr>
      <w:tr w:rsidR="006357C5" w:rsidRPr="00DC71B4" w:rsidTr="002554CF">
        <w:trPr>
          <w:trHeight w:val="266"/>
          <w:jc w:val="center"/>
        </w:trPr>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Spain</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91.2</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8.8</w:t>
            </w:r>
          </w:p>
        </w:tc>
      </w:tr>
      <w:tr w:rsidR="006357C5" w:rsidRPr="00DC71B4" w:rsidTr="002554CF">
        <w:trPr>
          <w:trHeight w:val="267"/>
          <w:jc w:val="center"/>
        </w:trPr>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Sweden</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76.2</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23.8</w:t>
            </w:r>
          </w:p>
        </w:tc>
      </w:tr>
      <w:tr w:rsidR="006357C5" w:rsidRPr="00DC71B4" w:rsidTr="002554CF">
        <w:trPr>
          <w:trHeight w:val="267"/>
          <w:jc w:val="center"/>
        </w:trPr>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Switzerland</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4</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94.7</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5.3</w:t>
            </w:r>
          </w:p>
        </w:tc>
      </w:tr>
      <w:tr w:rsidR="006357C5" w:rsidRPr="00DC71B4" w:rsidTr="002554CF">
        <w:trPr>
          <w:trHeight w:val="266"/>
          <w:jc w:val="center"/>
        </w:trPr>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Turkey</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m</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m</w:t>
            </w:r>
          </w:p>
        </w:tc>
      </w:tr>
      <w:tr w:rsidR="006357C5" w:rsidRPr="00DC71B4" w:rsidTr="002554CF">
        <w:trPr>
          <w:trHeight w:val="267"/>
          <w:jc w:val="center"/>
        </w:trPr>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United Kingdom</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46.8</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53.2</w:t>
            </w:r>
          </w:p>
        </w:tc>
      </w:tr>
      <w:tr w:rsidR="006357C5" w:rsidRPr="00DC71B4" w:rsidTr="002554CF">
        <w:trPr>
          <w:trHeight w:val="267"/>
          <w:jc w:val="center"/>
        </w:trPr>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United States</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78.5</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21.5</w:t>
            </w:r>
          </w:p>
        </w:tc>
      </w:tr>
      <w:tr w:rsidR="006357C5" w:rsidRPr="00DC71B4" w:rsidTr="002554CF">
        <w:trPr>
          <w:trHeight w:val="266"/>
          <w:jc w:val="center"/>
        </w:trPr>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b/>
                <w:sz w:val="16"/>
                <w:szCs w:val="16"/>
              </w:rPr>
            </w:pPr>
            <w:r w:rsidRPr="00DC71B4">
              <w:rPr>
                <w:b/>
                <w:sz w:val="16"/>
                <w:szCs w:val="16"/>
              </w:rPr>
              <w:t>OECD average</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b/>
                <w:sz w:val="16"/>
                <w:szCs w:val="16"/>
              </w:rPr>
            </w:pPr>
            <w:r w:rsidRPr="00DC71B4">
              <w:rPr>
                <w:b/>
                <w:sz w:val="16"/>
                <w:szCs w:val="16"/>
              </w:rPr>
              <w:t> </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b/>
                <w:sz w:val="16"/>
                <w:szCs w:val="16"/>
              </w:rPr>
            </w:pPr>
            <w:r w:rsidRPr="00DC71B4">
              <w:rPr>
                <w:b/>
                <w:sz w:val="16"/>
                <w:szCs w:val="16"/>
              </w:rPr>
              <w:t>79.0</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b/>
                <w:sz w:val="16"/>
                <w:szCs w:val="16"/>
              </w:rPr>
            </w:pPr>
            <w:r w:rsidRPr="00DC71B4">
              <w:rPr>
                <w:b/>
                <w:sz w:val="16"/>
                <w:szCs w:val="16"/>
              </w:rPr>
              <w:t>21.0</w:t>
            </w:r>
          </w:p>
        </w:tc>
      </w:tr>
      <w:tr w:rsidR="006357C5" w:rsidRPr="00DC71B4" w:rsidTr="002554CF">
        <w:trPr>
          <w:trHeight w:val="267"/>
          <w:jc w:val="center"/>
        </w:trPr>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b/>
                <w:sz w:val="16"/>
                <w:szCs w:val="16"/>
              </w:rPr>
            </w:pPr>
            <w:r w:rsidRPr="00DC71B4">
              <w:rPr>
                <w:b/>
                <w:sz w:val="16"/>
                <w:szCs w:val="16"/>
              </w:rPr>
              <w:t>Partner countries</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b/>
                <w:sz w:val="16"/>
                <w:szCs w:val="16"/>
              </w:rPr>
            </w:pPr>
            <w:r w:rsidRPr="00DC71B4">
              <w:rPr>
                <w:b/>
                <w:sz w:val="16"/>
                <w:szCs w:val="16"/>
              </w:rPr>
              <w:t> </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b/>
                <w:sz w:val="16"/>
                <w:szCs w:val="16"/>
              </w:rPr>
            </w:pPr>
            <w:r w:rsidRPr="00DC71B4">
              <w:rPr>
                <w:b/>
                <w:sz w:val="16"/>
                <w:szCs w:val="16"/>
              </w:rPr>
              <w:t> </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b/>
                <w:sz w:val="16"/>
                <w:szCs w:val="16"/>
              </w:rPr>
            </w:pPr>
            <w:r w:rsidRPr="00DC71B4">
              <w:rPr>
                <w:b/>
                <w:sz w:val="16"/>
                <w:szCs w:val="16"/>
              </w:rPr>
              <w:t> </w:t>
            </w:r>
          </w:p>
        </w:tc>
      </w:tr>
      <w:tr w:rsidR="006357C5" w:rsidRPr="00DC71B4" w:rsidTr="002554CF">
        <w:trPr>
          <w:trHeight w:val="267"/>
          <w:jc w:val="center"/>
        </w:trPr>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Brazil</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4</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90.0</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10.0</w:t>
            </w:r>
          </w:p>
        </w:tc>
      </w:tr>
      <w:tr w:rsidR="006357C5" w:rsidRPr="00DC71B4" w:rsidTr="002554CF">
        <w:trPr>
          <w:trHeight w:val="266"/>
          <w:jc w:val="center"/>
        </w:trPr>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Estonia</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87.3</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12.7</w:t>
            </w:r>
          </w:p>
        </w:tc>
      </w:tr>
      <w:tr w:rsidR="006357C5" w:rsidRPr="00DC71B4" w:rsidTr="002554CF">
        <w:trPr>
          <w:trHeight w:val="267"/>
          <w:jc w:val="center"/>
        </w:trPr>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Israel</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88.9</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11.1</w:t>
            </w:r>
          </w:p>
        </w:tc>
      </w:tr>
      <w:tr w:rsidR="006357C5" w:rsidRPr="00DC71B4" w:rsidTr="002554CF">
        <w:trPr>
          <w:trHeight w:val="267"/>
          <w:jc w:val="center"/>
        </w:trPr>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Russian Federation</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m</w:t>
            </w:r>
          </w:p>
        </w:tc>
        <w:tc>
          <w:tcPr>
            <w:tcW w:w="0" w:type="auto"/>
            <w:shd w:val="pct20"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m</w:t>
            </w:r>
          </w:p>
        </w:tc>
      </w:tr>
      <w:tr w:rsidR="006357C5" w:rsidRPr="00DC71B4" w:rsidTr="002554CF">
        <w:trPr>
          <w:trHeight w:val="267"/>
          <w:jc w:val="center"/>
        </w:trPr>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Slovenia</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 </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rPr>
                <w:sz w:val="16"/>
                <w:szCs w:val="16"/>
              </w:rPr>
            </w:pPr>
            <w:r w:rsidRPr="00DC71B4">
              <w:rPr>
                <w:sz w:val="16"/>
                <w:szCs w:val="16"/>
              </w:rPr>
              <w:t>77.2</w:t>
            </w:r>
          </w:p>
        </w:tc>
        <w:tc>
          <w:tcPr>
            <w:tcW w:w="0" w:type="auto"/>
            <w:shd w:val="pct5" w:color="000000" w:fill="FFFFFF"/>
            <w:noWrap/>
            <w:vAlign w:val="bottom"/>
          </w:tcPr>
          <w:p w:rsidR="006357C5" w:rsidRPr="00DC71B4" w:rsidRDefault="006357C5" w:rsidP="002554CF">
            <w:pPr>
              <w:tabs>
                <w:tab w:val="left" w:pos="1361"/>
                <w:tab w:val="left" w:pos="1701"/>
                <w:tab w:val="left" w:pos="2041"/>
              </w:tabs>
              <w:spacing w:line="240" w:lineRule="auto"/>
              <w:ind w:left="510" w:right="510" w:firstLine="340"/>
              <w:jc w:val="both"/>
              <w:rPr>
                <w:sz w:val="16"/>
                <w:szCs w:val="16"/>
              </w:rPr>
            </w:pPr>
            <w:r w:rsidRPr="00DC71B4">
              <w:rPr>
                <w:sz w:val="16"/>
                <w:szCs w:val="16"/>
              </w:rPr>
              <w:t>22.8</w:t>
            </w:r>
          </w:p>
        </w:tc>
      </w:tr>
    </w:tbl>
    <w:p w:rsidR="006357C5" w:rsidRPr="0085458D" w:rsidRDefault="006357C5" w:rsidP="006357C5">
      <w:pPr>
        <w:jc w:val="both"/>
        <w:rPr>
          <w:sz w:val="18"/>
          <w:szCs w:val="18"/>
        </w:rPr>
      </w:pPr>
      <w:r w:rsidRPr="00575059">
        <w:rPr>
          <w:sz w:val="18"/>
          <w:szCs w:val="18"/>
          <w:u w:val="single"/>
        </w:rPr>
        <w:lastRenderedPageBreak/>
        <w:t>Notes</w:t>
      </w:r>
      <w:r w:rsidRPr="00575059">
        <w:rPr>
          <w:sz w:val="18"/>
          <w:szCs w:val="18"/>
        </w:rPr>
        <w:t>: 1. Year of reference 2006. 2. Year of reference 2008. 3. Some levels of education are included with others. 4. Public institutions only. 5. Includes (a) scholarships/ other grants to households, (b) student loans, (c) scholarships/ other grants to households attributable for educational institutions and (d) transfers and payments to other private entities.</w:t>
      </w:r>
      <w:r>
        <w:rPr>
          <w:sz w:val="18"/>
          <w:szCs w:val="18"/>
        </w:rPr>
        <w:t xml:space="preserve"> </w:t>
      </w:r>
      <w:r w:rsidRPr="00575059">
        <w:rPr>
          <w:sz w:val="18"/>
          <w:szCs w:val="18"/>
          <w:u w:val="single"/>
        </w:rPr>
        <w:t>Source</w:t>
      </w:r>
      <w:r w:rsidRPr="00575059">
        <w:rPr>
          <w:sz w:val="18"/>
          <w:szCs w:val="18"/>
        </w:rPr>
        <w:t>: OECD 2010, Education at a Glance</w:t>
      </w:r>
    </w:p>
    <w:p w:rsidR="006357C5" w:rsidRDefault="006357C5" w:rsidP="006357C5"/>
    <w:p w:rsidR="006357C5" w:rsidRDefault="006357C5" w:rsidP="006357C5">
      <w:pPr>
        <w:pStyle w:val="Heading3"/>
        <w:spacing w:before="0"/>
        <w:jc w:val="both"/>
      </w:pPr>
      <w:bookmarkStart w:id="10" w:name="_Toc328387876"/>
      <w:bookmarkStart w:id="11" w:name="_Toc328388094"/>
      <w:bookmarkStart w:id="12" w:name="_Toc345342917"/>
      <w:r w:rsidRPr="00DF0CD6">
        <w:t>Models for direct funding of tertiary education institutions</w:t>
      </w:r>
      <w:bookmarkEnd w:id="10"/>
      <w:bookmarkEnd w:id="11"/>
      <w:bookmarkEnd w:id="12"/>
    </w:p>
    <w:p w:rsidR="006357C5" w:rsidRPr="00DF0CD6" w:rsidRDefault="006357C5" w:rsidP="006357C5">
      <w:pPr>
        <w:jc w:val="both"/>
      </w:pPr>
    </w:p>
    <w:p w:rsidR="006357C5" w:rsidRPr="00DF0CD6" w:rsidRDefault="006357C5" w:rsidP="006357C5">
      <w:pPr>
        <w:jc w:val="both"/>
      </w:pPr>
      <w:r w:rsidRPr="00DF0CD6">
        <w:t xml:space="preserve">Once the level of public funding for tertiary education is set, governments transfer resources to tertiary education institutions according to different models. This section describes the most common models and is based on Salmi and Hauptman (2006), who provide a typology of traditional and innovative models for resource allocation for tertiary education institutions. </w:t>
      </w:r>
      <w:r>
        <w:t xml:space="preserve">Table 46 </w:t>
      </w:r>
      <w:r w:rsidRPr="00DF0CD6">
        <w:t xml:space="preserve">summarizes this typology and briefly describes each funding mechanism. </w:t>
      </w:r>
    </w:p>
    <w:p w:rsidR="006357C5" w:rsidRPr="00DF0CD6" w:rsidRDefault="006357C5" w:rsidP="006357C5">
      <w:pPr>
        <w:jc w:val="both"/>
      </w:pPr>
    </w:p>
    <w:p w:rsidR="006357C5" w:rsidRPr="00DF0CD6" w:rsidRDefault="006357C5" w:rsidP="006357C5">
      <w:pPr>
        <w:jc w:val="both"/>
      </w:pPr>
      <w:r w:rsidRPr="00DF0CD6">
        <w:t>The first distinction that should be made when classifying resource allocation models for tertiary education refers to the functions of tertiary education institutions for which the resources are intended.</w:t>
      </w:r>
      <w:r>
        <w:t xml:space="preserve"> </w:t>
      </w:r>
      <w:r w:rsidRPr="00DF0CD6">
        <w:t>Funding can be directed towards instruction, general operations, investment or research.</w:t>
      </w:r>
      <w:r>
        <w:t xml:space="preserve"> </w:t>
      </w:r>
      <w:r w:rsidRPr="00DF0CD6">
        <w:t xml:space="preserve">According to the typology by Salmi and Hauptman, funding for the first three of these has been traditionally carried out through negotiated or ad hoc budgets, categorical or earmarked funding or through funding formulas. More recently, a number of countries have introduced elements of performance based funding for tertiary education institutions. Performance contracts, performance set-asides, competitive funds and payments for results are all performance-based methods of funding. </w:t>
      </w:r>
    </w:p>
    <w:p w:rsidR="006357C5" w:rsidRDefault="006357C5" w:rsidP="006357C5">
      <w:pPr>
        <w:jc w:val="both"/>
      </w:pPr>
    </w:p>
    <w:p w:rsidR="006357C5" w:rsidRDefault="006357C5" w:rsidP="006357C5">
      <w:pPr>
        <w:jc w:val="both"/>
      </w:pPr>
      <w:r w:rsidRPr="00DF0CD6">
        <w:t xml:space="preserve">Performance-based funding mechanisms link funding levels to some measure of outputs or outcomes. Two key characteristics distinguish performance-based funding from traditional funding. First, performance indicators usually reflect public policy objectives rather than institutional needs. Second, these mechanisms typically include incentives for institutional improvement, not just for maintenance of the status quo. </w:t>
      </w:r>
    </w:p>
    <w:p w:rsidR="006357C5" w:rsidRDefault="006357C5" w:rsidP="006357C5"/>
    <w:p w:rsidR="006357C5" w:rsidRDefault="006357C5" w:rsidP="006357C5">
      <w:pPr>
        <w:pStyle w:val="TableHeading"/>
      </w:pPr>
      <w:bookmarkStart w:id="13" w:name="_Toc328382208"/>
      <w:bookmarkStart w:id="14" w:name="_Toc328742892"/>
      <w:r w:rsidRPr="00DF0CD6">
        <w:t xml:space="preserve">Table </w:t>
      </w:r>
      <w:r>
        <w:t>46</w:t>
      </w:r>
      <w:r w:rsidRPr="00DF0CD6">
        <w:t>: Typology of models for resource allocation to tertiary education institutions</w:t>
      </w:r>
      <w:bookmarkEnd w:id="13"/>
      <w:bookmarkEnd w:id="14"/>
    </w:p>
    <w:p w:rsidR="006357C5" w:rsidRDefault="006357C5" w:rsidP="006357C5"/>
    <w:tbl>
      <w:tblPr>
        <w:tblW w:w="500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2"/>
        <w:gridCol w:w="3194"/>
        <w:gridCol w:w="3194"/>
      </w:tblGrid>
      <w:tr w:rsidR="006357C5" w:rsidRPr="00DC71B4" w:rsidTr="002554CF">
        <w:tc>
          <w:tcPr>
            <w:tcW w:w="1666" w:type="pct"/>
            <w:shd w:val="clear" w:color="auto" w:fill="F2F2F2"/>
          </w:tcPr>
          <w:p w:rsidR="006357C5" w:rsidRPr="00DC71B4" w:rsidRDefault="006357C5" w:rsidP="002554CF">
            <w:pPr>
              <w:spacing w:line="240" w:lineRule="auto"/>
              <w:rPr>
                <w:b/>
                <w:sz w:val="20"/>
              </w:rPr>
            </w:pPr>
          </w:p>
        </w:tc>
        <w:tc>
          <w:tcPr>
            <w:tcW w:w="1667" w:type="pct"/>
            <w:shd w:val="clear" w:color="auto" w:fill="F2F2F2"/>
          </w:tcPr>
          <w:p w:rsidR="006357C5" w:rsidRPr="00DC71B4" w:rsidRDefault="006357C5" w:rsidP="002554CF">
            <w:pPr>
              <w:spacing w:line="240" w:lineRule="auto"/>
              <w:rPr>
                <w:b/>
                <w:sz w:val="20"/>
              </w:rPr>
            </w:pPr>
            <w:r w:rsidRPr="00DC71B4">
              <w:rPr>
                <w:b/>
                <w:sz w:val="20"/>
              </w:rPr>
              <w:t>Funding for instruction, operations and investment</w:t>
            </w:r>
          </w:p>
        </w:tc>
        <w:tc>
          <w:tcPr>
            <w:tcW w:w="1667" w:type="pct"/>
            <w:shd w:val="clear" w:color="auto" w:fill="F2F2F2"/>
          </w:tcPr>
          <w:p w:rsidR="006357C5" w:rsidRPr="00DC71B4" w:rsidRDefault="006357C5" w:rsidP="002554CF">
            <w:pPr>
              <w:spacing w:line="240" w:lineRule="auto"/>
              <w:rPr>
                <w:b/>
                <w:sz w:val="20"/>
              </w:rPr>
            </w:pPr>
            <w:r w:rsidRPr="00DC71B4">
              <w:rPr>
                <w:b/>
                <w:sz w:val="20"/>
              </w:rPr>
              <w:t>Funding for research</w:t>
            </w:r>
          </w:p>
        </w:tc>
      </w:tr>
      <w:tr w:rsidR="006357C5" w:rsidRPr="00DC71B4" w:rsidTr="002554CF">
        <w:tc>
          <w:tcPr>
            <w:tcW w:w="1666" w:type="pct"/>
            <w:vMerge w:val="restart"/>
          </w:tcPr>
          <w:p w:rsidR="006357C5" w:rsidRPr="00DC71B4" w:rsidRDefault="006357C5" w:rsidP="002554CF">
            <w:pPr>
              <w:spacing w:line="240" w:lineRule="auto"/>
              <w:rPr>
                <w:b/>
                <w:sz w:val="20"/>
              </w:rPr>
            </w:pPr>
            <w:r w:rsidRPr="00DC71B4">
              <w:rPr>
                <w:b/>
                <w:sz w:val="20"/>
              </w:rPr>
              <w:t>Traditional mechanisms</w:t>
            </w:r>
          </w:p>
        </w:tc>
        <w:tc>
          <w:tcPr>
            <w:tcW w:w="1667" w:type="pct"/>
          </w:tcPr>
          <w:p w:rsidR="006357C5" w:rsidRPr="00DC71B4" w:rsidRDefault="006357C5" w:rsidP="002554CF">
            <w:pPr>
              <w:spacing w:line="240" w:lineRule="auto"/>
              <w:rPr>
                <w:b/>
                <w:sz w:val="20"/>
              </w:rPr>
            </w:pPr>
            <w:r w:rsidRPr="00DC71B4">
              <w:rPr>
                <w:b/>
                <w:sz w:val="20"/>
              </w:rPr>
              <w:t xml:space="preserve">Negotiated/ ad hoc budgets: </w:t>
            </w:r>
          </w:p>
          <w:p w:rsidR="006357C5" w:rsidRPr="00DC71B4" w:rsidRDefault="006357C5" w:rsidP="002554CF">
            <w:pPr>
              <w:spacing w:line="240" w:lineRule="auto"/>
              <w:rPr>
                <w:b/>
                <w:sz w:val="20"/>
              </w:rPr>
            </w:pPr>
            <w:r w:rsidRPr="00DC71B4">
              <w:rPr>
                <w:sz w:val="20"/>
              </w:rPr>
              <w:t>The levels of funding are decided through a negotiations process, usually primarily based on historical trends. Resources are then typically distributed to institutions as line item budgets or block grants.</w:t>
            </w:r>
          </w:p>
        </w:tc>
        <w:tc>
          <w:tcPr>
            <w:tcW w:w="1667" w:type="pct"/>
          </w:tcPr>
          <w:p w:rsidR="006357C5" w:rsidRPr="00DC71B4" w:rsidRDefault="006357C5" w:rsidP="002554CF">
            <w:pPr>
              <w:spacing w:line="240" w:lineRule="auto"/>
              <w:rPr>
                <w:sz w:val="20"/>
              </w:rPr>
            </w:pPr>
            <w:r w:rsidRPr="00DC71B4">
              <w:rPr>
                <w:b/>
                <w:sz w:val="20"/>
              </w:rPr>
              <w:t xml:space="preserve">Joint funding of instruction and research </w:t>
            </w:r>
          </w:p>
          <w:p w:rsidR="006357C5" w:rsidRPr="00DC71B4" w:rsidRDefault="006357C5" w:rsidP="002554CF">
            <w:pPr>
              <w:spacing w:line="240" w:lineRule="auto"/>
              <w:rPr>
                <w:b/>
                <w:sz w:val="20"/>
              </w:rPr>
            </w:pPr>
            <w:r w:rsidRPr="00DC71B4">
              <w:rPr>
                <w:sz w:val="20"/>
              </w:rPr>
              <w:t>Institutions use some of the public resources they receive to pay for research conducted on campus, in addition to expenditures for academic instruction and institutional operations.</w:t>
            </w:r>
          </w:p>
        </w:tc>
      </w:tr>
      <w:tr w:rsidR="006357C5" w:rsidRPr="00DC71B4" w:rsidTr="002554CF">
        <w:tc>
          <w:tcPr>
            <w:tcW w:w="1666" w:type="pct"/>
            <w:vMerge/>
          </w:tcPr>
          <w:p w:rsidR="006357C5" w:rsidRPr="00DC71B4" w:rsidRDefault="006357C5" w:rsidP="002554CF">
            <w:pPr>
              <w:spacing w:line="240" w:lineRule="auto"/>
              <w:rPr>
                <w:b/>
                <w:sz w:val="20"/>
              </w:rPr>
            </w:pPr>
          </w:p>
        </w:tc>
        <w:tc>
          <w:tcPr>
            <w:tcW w:w="1667" w:type="pct"/>
          </w:tcPr>
          <w:p w:rsidR="006357C5" w:rsidRPr="00DC71B4" w:rsidRDefault="006357C5" w:rsidP="002554CF">
            <w:pPr>
              <w:spacing w:line="240" w:lineRule="auto"/>
              <w:rPr>
                <w:b/>
                <w:sz w:val="20"/>
              </w:rPr>
            </w:pPr>
            <w:r w:rsidRPr="00DC71B4">
              <w:rPr>
                <w:b/>
                <w:sz w:val="20"/>
              </w:rPr>
              <w:t xml:space="preserve">Categorical/ earmarked funding </w:t>
            </w:r>
          </w:p>
          <w:p w:rsidR="006357C5" w:rsidRPr="00DC71B4" w:rsidRDefault="006357C5" w:rsidP="002554CF">
            <w:pPr>
              <w:spacing w:line="240" w:lineRule="auto"/>
              <w:rPr>
                <w:b/>
                <w:sz w:val="20"/>
              </w:rPr>
            </w:pPr>
            <w:r w:rsidRPr="00DC71B4">
              <w:rPr>
                <w:sz w:val="20"/>
              </w:rPr>
              <w:t xml:space="preserve">The government designates or earmarks a particular institution or group of institutions to receive funds for a specific purpose. </w:t>
            </w:r>
            <w:r w:rsidRPr="00DC71B4">
              <w:rPr>
                <w:sz w:val="20"/>
              </w:rPr>
              <w:lastRenderedPageBreak/>
              <w:t>Frequently, categorical or earmarked funds are established in an attempt to correct or ameliorate real or perceived past under-funding for a group of institutions most often characterized by their geographic location or the types of students they serve.</w:t>
            </w:r>
          </w:p>
        </w:tc>
        <w:tc>
          <w:tcPr>
            <w:tcW w:w="1667" w:type="pct"/>
          </w:tcPr>
          <w:p w:rsidR="006357C5" w:rsidRPr="00DC71B4" w:rsidRDefault="006357C5" w:rsidP="002554CF">
            <w:pPr>
              <w:spacing w:line="240" w:lineRule="auto"/>
              <w:rPr>
                <w:b/>
                <w:sz w:val="20"/>
              </w:rPr>
            </w:pPr>
          </w:p>
        </w:tc>
      </w:tr>
      <w:tr w:rsidR="006357C5" w:rsidRPr="00DC71B4" w:rsidTr="002554CF">
        <w:tc>
          <w:tcPr>
            <w:tcW w:w="1666" w:type="pct"/>
            <w:vMerge/>
          </w:tcPr>
          <w:p w:rsidR="006357C5" w:rsidRPr="00DC71B4" w:rsidRDefault="006357C5" w:rsidP="002554CF">
            <w:pPr>
              <w:spacing w:line="240" w:lineRule="auto"/>
              <w:rPr>
                <w:b/>
                <w:sz w:val="20"/>
              </w:rPr>
            </w:pPr>
          </w:p>
        </w:tc>
        <w:tc>
          <w:tcPr>
            <w:tcW w:w="1667" w:type="pct"/>
          </w:tcPr>
          <w:p w:rsidR="006357C5" w:rsidRPr="00DC71B4" w:rsidRDefault="006357C5" w:rsidP="002554CF">
            <w:pPr>
              <w:spacing w:line="240" w:lineRule="auto"/>
              <w:rPr>
                <w:b/>
                <w:sz w:val="20"/>
              </w:rPr>
            </w:pPr>
            <w:r w:rsidRPr="00DC71B4">
              <w:rPr>
                <w:b/>
                <w:sz w:val="20"/>
              </w:rPr>
              <w:t>Funding formulas</w:t>
            </w:r>
          </w:p>
          <w:p w:rsidR="006357C5" w:rsidRPr="00DC71B4" w:rsidRDefault="006357C5" w:rsidP="002554CF">
            <w:pPr>
              <w:spacing w:line="240" w:lineRule="auto"/>
              <w:rPr>
                <w:sz w:val="20"/>
              </w:rPr>
            </w:pPr>
            <w:r w:rsidRPr="00DC71B4">
              <w:rPr>
                <w:sz w:val="20"/>
              </w:rPr>
              <w:t xml:space="preserve">Resources allocation varies on the basis of the factors used in the development of the formula. Factors often used to determine funding formulas include: </w:t>
            </w:r>
          </w:p>
          <w:p w:rsidR="006357C5" w:rsidRDefault="006357C5" w:rsidP="006357C5">
            <w:pPr>
              <w:numPr>
                <w:ilvl w:val="0"/>
                <w:numId w:val="2"/>
              </w:numPr>
              <w:spacing w:line="240" w:lineRule="auto"/>
              <w:rPr>
                <w:sz w:val="20"/>
              </w:rPr>
            </w:pPr>
            <w:r w:rsidRPr="00DC71B4">
              <w:rPr>
                <w:sz w:val="20"/>
              </w:rPr>
              <w:t>Inputs such as staff or student</w:t>
            </w:r>
          </w:p>
          <w:p w:rsidR="006357C5" w:rsidRDefault="006357C5" w:rsidP="006357C5">
            <w:pPr>
              <w:numPr>
                <w:ilvl w:val="0"/>
                <w:numId w:val="2"/>
              </w:numPr>
              <w:spacing w:line="240" w:lineRule="auto"/>
              <w:rPr>
                <w:sz w:val="20"/>
              </w:rPr>
            </w:pPr>
            <w:r w:rsidRPr="00DC71B4">
              <w:rPr>
                <w:sz w:val="20"/>
              </w:rPr>
              <w:t>Costs per student</w:t>
            </w:r>
          </w:p>
          <w:p w:rsidR="006357C5" w:rsidRDefault="006357C5" w:rsidP="006357C5">
            <w:pPr>
              <w:numPr>
                <w:ilvl w:val="0"/>
                <w:numId w:val="2"/>
              </w:numPr>
              <w:spacing w:line="240" w:lineRule="auto"/>
              <w:rPr>
                <w:sz w:val="20"/>
              </w:rPr>
            </w:pPr>
            <w:r w:rsidRPr="00DC71B4">
              <w:rPr>
                <w:sz w:val="20"/>
              </w:rPr>
              <w:t>Priority based funding</w:t>
            </w:r>
          </w:p>
          <w:p w:rsidR="006357C5" w:rsidRPr="00DC71B4" w:rsidRDefault="006357C5" w:rsidP="002554CF">
            <w:pPr>
              <w:spacing w:line="240" w:lineRule="auto"/>
              <w:rPr>
                <w:sz w:val="20"/>
              </w:rPr>
            </w:pPr>
            <w:r w:rsidRPr="00DC71B4">
              <w:rPr>
                <w:sz w:val="20"/>
              </w:rPr>
              <w:t>Performance-based formula components</w:t>
            </w:r>
          </w:p>
          <w:p w:rsidR="006357C5" w:rsidRPr="00DC71B4" w:rsidRDefault="006357C5" w:rsidP="002554CF">
            <w:pPr>
              <w:spacing w:line="240" w:lineRule="auto"/>
              <w:rPr>
                <w:b/>
                <w:sz w:val="20"/>
              </w:rPr>
            </w:pPr>
          </w:p>
        </w:tc>
        <w:tc>
          <w:tcPr>
            <w:tcW w:w="1667" w:type="pct"/>
          </w:tcPr>
          <w:p w:rsidR="006357C5" w:rsidRPr="00DC71B4" w:rsidRDefault="006357C5" w:rsidP="002554CF">
            <w:pPr>
              <w:spacing w:line="240" w:lineRule="auto"/>
              <w:rPr>
                <w:b/>
                <w:sz w:val="20"/>
              </w:rPr>
            </w:pPr>
          </w:p>
        </w:tc>
      </w:tr>
      <w:tr w:rsidR="006357C5" w:rsidRPr="00DC71B4" w:rsidTr="002554CF">
        <w:tc>
          <w:tcPr>
            <w:tcW w:w="1666" w:type="pct"/>
            <w:vMerge w:val="restart"/>
          </w:tcPr>
          <w:p w:rsidR="006357C5" w:rsidRPr="00DC71B4" w:rsidRDefault="006357C5" w:rsidP="002554CF">
            <w:pPr>
              <w:spacing w:line="240" w:lineRule="auto"/>
              <w:rPr>
                <w:b/>
                <w:sz w:val="20"/>
              </w:rPr>
            </w:pPr>
            <w:r w:rsidRPr="00DC71B4">
              <w:rPr>
                <w:b/>
                <w:sz w:val="20"/>
              </w:rPr>
              <w:t>Innovative mechanisms</w:t>
            </w:r>
          </w:p>
        </w:tc>
        <w:tc>
          <w:tcPr>
            <w:tcW w:w="1667" w:type="pct"/>
          </w:tcPr>
          <w:p w:rsidR="006357C5" w:rsidRPr="00DC71B4" w:rsidRDefault="006357C5" w:rsidP="002554CF">
            <w:pPr>
              <w:spacing w:line="240" w:lineRule="auto"/>
              <w:rPr>
                <w:b/>
                <w:sz w:val="20"/>
              </w:rPr>
            </w:pPr>
            <w:r w:rsidRPr="00DC71B4">
              <w:rPr>
                <w:b/>
                <w:sz w:val="20"/>
              </w:rPr>
              <w:t>Performance contracts</w:t>
            </w:r>
          </w:p>
          <w:p w:rsidR="006357C5" w:rsidRPr="00DC71B4" w:rsidRDefault="006357C5" w:rsidP="002554CF">
            <w:pPr>
              <w:spacing w:line="240" w:lineRule="auto"/>
              <w:rPr>
                <w:b/>
                <w:sz w:val="20"/>
              </w:rPr>
            </w:pPr>
            <w:r w:rsidRPr="00DC71B4">
              <w:rPr>
                <w:sz w:val="20"/>
              </w:rPr>
              <w:t>Regulatory agreements between governments and systems of institutions or individual institutions in which various performance measures are used to benchmark progress. All or a portion of funding may be based on whether institutions meet the requirements in the contracts. The agreements can be prospectively funded or reviewed and acted upon retrospectively. In some instances, such contracts can be viewed as a punitive instrument rather than as incentives, as failure to meet goals may result in reduced funding.</w:t>
            </w:r>
          </w:p>
        </w:tc>
        <w:tc>
          <w:tcPr>
            <w:tcW w:w="1667" w:type="pct"/>
          </w:tcPr>
          <w:p w:rsidR="006357C5" w:rsidRPr="00DC71B4" w:rsidRDefault="006357C5" w:rsidP="002554CF">
            <w:pPr>
              <w:spacing w:line="240" w:lineRule="auto"/>
              <w:rPr>
                <w:b/>
                <w:sz w:val="20"/>
              </w:rPr>
            </w:pPr>
            <w:r w:rsidRPr="00DC71B4">
              <w:rPr>
                <w:b/>
                <w:sz w:val="20"/>
              </w:rPr>
              <w:t>Block Grants</w:t>
            </w:r>
          </w:p>
          <w:p w:rsidR="006357C5" w:rsidRPr="00DC71B4" w:rsidRDefault="006357C5" w:rsidP="002554CF">
            <w:pPr>
              <w:spacing w:line="240" w:lineRule="auto"/>
              <w:rPr>
                <w:sz w:val="20"/>
              </w:rPr>
            </w:pPr>
            <w:r w:rsidRPr="00DC71B4">
              <w:rPr>
                <w:sz w:val="20"/>
              </w:rPr>
              <w:t>Institutions receive a block grant allocation that is not differentiated or earmarked by project; they then have wide latitude in setting their own priorities for the expenditure of these funds. In some instances, eligibility for the block grant may be based on institutional demonstrated capacity, so that the amount of public research funding for each university is based on a periodic peer-reviewed assessment of collective faculty capacity to conduct research in an innovative fashion.</w:t>
            </w:r>
          </w:p>
          <w:p w:rsidR="006357C5" w:rsidRPr="00DC71B4" w:rsidRDefault="006357C5" w:rsidP="002554CF">
            <w:pPr>
              <w:spacing w:line="240" w:lineRule="auto"/>
              <w:rPr>
                <w:b/>
                <w:sz w:val="20"/>
              </w:rPr>
            </w:pPr>
            <w:r w:rsidRPr="00DC71B4">
              <w:rPr>
                <w:sz w:val="20"/>
              </w:rPr>
              <w:t>Another way to allocate research funds through block grants is to fund centers of research excellence at particular institutions that often specialize in certain fields or endeavors.</w:t>
            </w:r>
            <w:r w:rsidRPr="00DC71B4">
              <w:rPr>
                <w:b/>
                <w:sz w:val="20"/>
              </w:rPr>
              <w:t xml:space="preserve"> </w:t>
            </w:r>
          </w:p>
        </w:tc>
      </w:tr>
      <w:tr w:rsidR="006357C5" w:rsidRPr="00DC71B4" w:rsidTr="002554CF">
        <w:tc>
          <w:tcPr>
            <w:tcW w:w="1666" w:type="pct"/>
            <w:vMerge/>
            <w:shd w:val="clear" w:color="auto" w:fill="F2F2F2"/>
          </w:tcPr>
          <w:p w:rsidR="006357C5" w:rsidRPr="00DC71B4" w:rsidRDefault="006357C5" w:rsidP="002554CF">
            <w:pPr>
              <w:spacing w:line="240" w:lineRule="auto"/>
              <w:rPr>
                <w:b/>
                <w:sz w:val="20"/>
              </w:rPr>
            </w:pPr>
          </w:p>
        </w:tc>
        <w:tc>
          <w:tcPr>
            <w:tcW w:w="1667" w:type="pct"/>
          </w:tcPr>
          <w:p w:rsidR="006357C5" w:rsidRPr="00DC71B4" w:rsidRDefault="006357C5" w:rsidP="002554CF">
            <w:pPr>
              <w:spacing w:line="240" w:lineRule="auto"/>
              <w:rPr>
                <w:b/>
                <w:sz w:val="20"/>
              </w:rPr>
            </w:pPr>
            <w:r w:rsidRPr="00DC71B4">
              <w:rPr>
                <w:b/>
                <w:sz w:val="20"/>
              </w:rPr>
              <w:t>Performance set-asides</w:t>
            </w:r>
          </w:p>
          <w:p w:rsidR="006357C5" w:rsidRPr="00DC71B4" w:rsidRDefault="006357C5" w:rsidP="002554CF">
            <w:pPr>
              <w:spacing w:line="240" w:lineRule="auto"/>
              <w:rPr>
                <w:b/>
                <w:sz w:val="20"/>
              </w:rPr>
            </w:pPr>
            <w:r w:rsidRPr="00DC71B4">
              <w:rPr>
                <w:sz w:val="20"/>
              </w:rPr>
              <w:t>A portion of funds outside of the basic funding formula is distributed based on a set of performance measures. Typically only a small portion of funds for recurrent expenses is distributed on this basis.</w:t>
            </w:r>
          </w:p>
        </w:tc>
        <w:tc>
          <w:tcPr>
            <w:tcW w:w="1667" w:type="pct"/>
          </w:tcPr>
          <w:p w:rsidR="006357C5" w:rsidRPr="00DC71B4" w:rsidRDefault="006357C5" w:rsidP="002554CF">
            <w:pPr>
              <w:spacing w:line="240" w:lineRule="auto"/>
              <w:rPr>
                <w:b/>
                <w:sz w:val="20"/>
              </w:rPr>
            </w:pPr>
            <w:r w:rsidRPr="00DC71B4">
              <w:rPr>
                <w:b/>
                <w:sz w:val="20"/>
              </w:rPr>
              <w:t>Project based</w:t>
            </w:r>
          </w:p>
          <w:p w:rsidR="006357C5" w:rsidRPr="00DC71B4" w:rsidRDefault="006357C5" w:rsidP="002554CF">
            <w:pPr>
              <w:spacing w:line="240" w:lineRule="auto"/>
              <w:rPr>
                <w:b/>
                <w:sz w:val="20"/>
              </w:rPr>
            </w:pPr>
            <w:r w:rsidRPr="00DC71B4">
              <w:rPr>
                <w:sz w:val="20"/>
              </w:rPr>
              <w:t>Faculty or other staff is funded for specific projects, usually based on peer reviews of research proposals.</w:t>
            </w:r>
          </w:p>
        </w:tc>
      </w:tr>
      <w:tr w:rsidR="006357C5" w:rsidRPr="00DC71B4" w:rsidTr="002554CF">
        <w:tc>
          <w:tcPr>
            <w:tcW w:w="1666" w:type="pct"/>
            <w:vMerge/>
            <w:shd w:val="clear" w:color="auto" w:fill="F2F2F2"/>
          </w:tcPr>
          <w:p w:rsidR="006357C5" w:rsidRPr="00DC71B4" w:rsidRDefault="006357C5" w:rsidP="002554CF">
            <w:pPr>
              <w:spacing w:line="240" w:lineRule="auto"/>
              <w:rPr>
                <w:b/>
                <w:sz w:val="20"/>
              </w:rPr>
            </w:pPr>
          </w:p>
        </w:tc>
        <w:tc>
          <w:tcPr>
            <w:tcW w:w="1667" w:type="pct"/>
          </w:tcPr>
          <w:p w:rsidR="006357C5" w:rsidRPr="00DC71B4" w:rsidRDefault="006357C5" w:rsidP="002554CF">
            <w:pPr>
              <w:spacing w:line="240" w:lineRule="auto"/>
              <w:rPr>
                <w:b/>
                <w:sz w:val="20"/>
              </w:rPr>
            </w:pPr>
            <w:r w:rsidRPr="00DC71B4">
              <w:rPr>
                <w:b/>
                <w:sz w:val="20"/>
              </w:rPr>
              <w:t>Competitive funds</w:t>
            </w:r>
          </w:p>
          <w:p w:rsidR="006357C5" w:rsidRPr="00DC71B4" w:rsidRDefault="006357C5" w:rsidP="002554CF">
            <w:pPr>
              <w:spacing w:line="240" w:lineRule="auto"/>
              <w:rPr>
                <w:b/>
                <w:sz w:val="20"/>
              </w:rPr>
            </w:pPr>
            <w:r w:rsidRPr="00DC71B4">
              <w:rPr>
                <w:sz w:val="20"/>
              </w:rPr>
              <w:lastRenderedPageBreak/>
              <w:t xml:space="preserve">The government sets up a fund that supports peer-reviewed proposals designed to achieve institutional improvement or national policy objectives. </w:t>
            </w:r>
          </w:p>
        </w:tc>
        <w:tc>
          <w:tcPr>
            <w:tcW w:w="1667" w:type="pct"/>
          </w:tcPr>
          <w:p w:rsidR="006357C5" w:rsidRPr="00DC71B4" w:rsidRDefault="006357C5" w:rsidP="002554CF">
            <w:pPr>
              <w:spacing w:line="240" w:lineRule="auto"/>
              <w:rPr>
                <w:b/>
                <w:sz w:val="20"/>
              </w:rPr>
            </w:pPr>
          </w:p>
        </w:tc>
      </w:tr>
      <w:tr w:rsidR="006357C5" w:rsidRPr="00DC71B4" w:rsidTr="002554CF">
        <w:tc>
          <w:tcPr>
            <w:tcW w:w="1666" w:type="pct"/>
            <w:vMerge/>
            <w:shd w:val="clear" w:color="auto" w:fill="F2F2F2"/>
          </w:tcPr>
          <w:p w:rsidR="006357C5" w:rsidRPr="00DC71B4" w:rsidRDefault="006357C5" w:rsidP="002554CF">
            <w:pPr>
              <w:spacing w:line="240" w:lineRule="auto"/>
              <w:rPr>
                <w:b/>
                <w:sz w:val="20"/>
              </w:rPr>
            </w:pPr>
          </w:p>
        </w:tc>
        <w:tc>
          <w:tcPr>
            <w:tcW w:w="1667" w:type="pct"/>
          </w:tcPr>
          <w:p w:rsidR="006357C5" w:rsidRPr="00DC71B4" w:rsidRDefault="006357C5" w:rsidP="002554CF">
            <w:pPr>
              <w:spacing w:line="240" w:lineRule="auto"/>
              <w:rPr>
                <w:sz w:val="20"/>
              </w:rPr>
            </w:pPr>
            <w:r w:rsidRPr="00DC71B4">
              <w:rPr>
                <w:b/>
                <w:sz w:val="20"/>
              </w:rPr>
              <w:t>Payments for results</w:t>
            </w:r>
            <w:r w:rsidRPr="00DC71B4">
              <w:rPr>
                <w:sz w:val="20"/>
              </w:rPr>
              <w:t xml:space="preserve"> </w:t>
            </w:r>
          </w:p>
          <w:p w:rsidR="006357C5" w:rsidRPr="00DC71B4" w:rsidRDefault="006357C5" w:rsidP="002554CF">
            <w:pPr>
              <w:spacing w:line="240" w:lineRule="auto"/>
              <w:rPr>
                <w:b/>
                <w:sz w:val="20"/>
              </w:rPr>
            </w:pPr>
            <w:r w:rsidRPr="00DC71B4">
              <w:rPr>
                <w:sz w:val="20"/>
              </w:rPr>
              <w:t>Output or outcome measures are used to determine all or a portion of the funds that institutions receive either through a formula or as a separate set of payments.</w:t>
            </w:r>
          </w:p>
        </w:tc>
        <w:tc>
          <w:tcPr>
            <w:tcW w:w="1667" w:type="pct"/>
          </w:tcPr>
          <w:p w:rsidR="006357C5" w:rsidRPr="00DC71B4" w:rsidRDefault="006357C5" w:rsidP="002554CF">
            <w:pPr>
              <w:spacing w:line="240" w:lineRule="auto"/>
              <w:rPr>
                <w:b/>
                <w:sz w:val="20"/>
              </w:rPr>
            </w:pPr>
          </w:p>
        </w:tc>
      </w:tr>
    </w:tbl>
    <w:p w:rsidR="006357C5" w:rsidRPr="00F71402" w:rsidRDefault="006357C5" w:rsidP="006357C5">
      <w:pPr>
        <w:rPr>
          <w:sz w:val="18"/>
          <w:szCs w:val="18"/>
        </w:rPr>
      </w:pPr>
      <w:r w:rsidRPr="00575059">
        <w:rPr>
          <w:sz w:val="18"/>
          <w:szCs w:val="18"/>
          <w:u w:val="single"/>
        </w:rPr>
        <w:t>Source</w:t>
      </w:r>
      <w:r w:rsidRPr="00575059">
        <w:rPr>
          <w:sz w:val="18"/>
          <w:szCs w:val="18"/>
        </w:rPr>
        <w:t>: Salmi and Hauptman (2006)</w:t>
      </w:r>
    </w:p>
    <w:p w:rsidR="006357C5" w:rsidRPr="00DF0CD6" w:rsidRDefault="006357C5" w:rsidP="006357C5"/>
    <w:p w:rsidR="006357C5" w:rsidRPr="00DF0CD6" w:rsidRDefault="006357C5" w:rsidP="006357C5">
      <w:pPr>
        <w:jc w:val="both"/>
      </w:pPr>
      <w:r w:rsidRPr="00DF0CD6">
        <w:t>A recent review of tertiary education systems in 24 OECD countries highlights three common trends in the evolution of mechanisms to fund educational institutions. First, most countries have evolved from a system of traditional funding, based on line-item budgets to the use of block grants for funding teaching and learning activities, which give educational institutions a higher level of discretion for resource allocation. Second, the allocation of resources on a targeted basis, which would enter the “categorical/earmarked funding” in the above typology, has substantially increased. The review highlights the following examples of specific purposes financed through targeted mechanisms: improving teaching quality (</w:t>
      </w:r>
      <w:r w:rsidRPr="00DF0CD6">
        <w:rPr>
          <w:iCs/>
        </w:rPr>
        <w:t xml:space="preserve">e.g. </w:t>
      </w:r>
      <w:r w:rsidRPr="00DF0CD6">
        <w:t xml:space="preserve">in Australia the </w:t>
      </w:r>
      <w:r w:rsidRPr="00DF0CD6">
        <w:rPr>
          <w:iCs/>
        </w:rPr>
        <w:t>Learning and Teaching Performance Fund</w:t>
      </w:r>
      <w:r w:rsidRPr="00DF0CD6">
        <w:t>), promoting innovation (</w:t>
      </w:r>
      <w:r w:rsidRPr="00DF0CD6">
        <w:rPr>
          <w:iCs/>
        </w:rPr>
        <w:t xml:space="preserve">e.g. </w:t>
      </w:r>
      <w:r w:rsidRPr="00DF0CD6">
        <w:t>Chile, the Czech Republic), fostering better management practices (</w:t>
      </w:r>
      <w:r w:rsidRPr="00DF0CD6">
        <w:rPr>
          <w:iCs/>
        </w:rPr>
        <w:t xml:space="preserve">e.g. </w:t>
      </w:r>
      <w:r w:rsidRPr="00DF0CD6">
        <w:t>Mexico), modernizing infrastructure (</w:t>
      </w:r>
      <w:r w:rsidRPr="00DF0CD6">
        <w:rPr>
          <w:iCs/>
        </w:rPr>
        <w:t xml:space="preserve">e.g. </w:t>
      </w:r>
      <w:r w:rsidRPr="00DF0CD6">
        <w:t>Australia), encouraging partnerships with the private sector (</w:t>
      </w:r>
      <w:r w:rsidRPr="00DF0CD6">
        <w:rPr>
          <w:iCs/>
        </w:rPr>
        <w:t xml:space="preserve">e.g. </w:t>
      </w:r>
      <w:r w:rsidRPr="00DF0CD6">
        <w:t>New Zealand), supporting particular fields (</w:t>
      </w:r>
      <w:r w:rsidRPr="00DF0CD6">
        <w:rPr>
          <w:iCs/>
        </w:rPr>
        <w:t xml:space="preserve">e.g. </w:t>
      </w:r>
      <w:r w:rsidRPr="00DF0CD6">
        <w:t>teacher education in Chile), and improving quality assurance processes (</w:t>
      </w:r>
      <w:r w:rsidRPr="00DF0CD6">
        <w:rPr>
          <w:iCs/>
        </w:rPr>
        <w:t xml:space="preserve">e.g. </w:t>
      </w:r>
      <w:r w:rsidRPr="00DF0CD6">
        <w:t xml:space="preserve">Portugal). Third, there is a marked shift to allocation mechanisms that are more performance-based. </w:t>
      </w:r>
      <w:r>
        <w:br/>
      </w:r>
    </w:p>
    <w:p w:rsidR="006357C5" w:rsidRDefault="006357C5" w:rsidP="006357C5">
      <w:pPr>
        <w:jc w:val="both"/>
      </w:pPr>
      <w:r w:rsidRPr="00DF0CD6">
        <w:t>Public resources directed towards the financing of research at tertiary education institutions can be allocated jointly with resources for instruction, general operations and investment. This allocation method is widely used, as block grants and negotiated budgets for teaching frequently include elements of research funding. Otherwise, public funding for research in TEIs is allocated separately through a blend of core funding and project-based funding. Increasingly in the OECD, core funding for research is allocated through block grants based on formulas or on a competitive basis, and less so based on historical trends and negotiations between TEIs and the government.</w:t>
      </w:r>
      <w:r>
        <w:t xml:space="preserve"> </w:t>
      </w:r>
      <w:r w:rsidRPr="00DF0CD6">
        <w:t>A key trend arising form the OECD review of tertiary education is the shift towards the use of project- based funding by many countries.</w:t>
      </w:r>
      <w:r>
        <w:t xml:space="preserve"> </w:t>
      </w:r>
    </w:p>
    <w:p w:rsidR="006357C5" w:rsidRDefault="006357C5" w:rsidP="006357C5">
      <w:pPr>
        <w:jc w:val="both"/>
      </w:pPr>
    </w:p>
    <w:p w:rsidR="006357C5" w:rsidRDefault="006357C5" w:rsidP="006357C5">
      <w:pPr>
        <w:jc w:val="both"/>
      </w:pPr>
      <w:r w:rsidRPr="00DF0CD6">
        <w:t xml:space="preserve">The review offers a series of considerations that point to the importance of maintaining elements of core funding when project-based funding is introduced: “Competitive funding may promote more </w:t>
      </w:r>
      <w:r w:rsidRPr="00DF0CD6">
        <w:rPr>
          <w:iCs/>
        </w:rPr>
        <w:t xml:space="preserve">ad hoc </w:t>
      </w:r>
      <w:r w:rsidRPr="00DF0CD6">
        <w:t xml:space="preserve">and short-term research in cases where evaluation mechanisms and incentive structures focus on quantifiable and “immediate outputs”. As a result, researchers may be reluctant to engage in research that will not produce results that can be demonstrated over short time-spans. In addition, precisely because project-based funding is competitive, sustained funding is not guaranteed, which may impede the autonomy of researchers working in controversial fields. If project-based funding has a short duration, it may also mean that </w:t>
      </w:r>
      <w:r w:rsidRPr="00DF0CD6">
        <w:lastRenderedPageBreak/>
        <w:t xml:space="preserve">researchers need to spend time preparing applications to secure funding on a more frequent basis.” (OECD, 2008, Vol 2. P 114) </w:t>
      </w:r>
    </w:p>
    <w:p w:rsidR="006357C5" w:rsidRDefault="006357C5" w:rsidP="006357C5">
      <w:pPr>
        <w:jc w:val="both"/>
      </w:pPr>
    </w:p>
    <w:p w:rsidR="006357C5" w:rsidRDefault="006357C5" w:rsidP="006357C5">
      <w:pPr>
        <w:pStyle w:val="Heading3"/>
        <w:spacing w:before="0"/>
        <w:jc w:val="both"/>
      </w:pPr>
      <w:bookmarkStart w:id="15" w:name="_Toc328387877"/>
      <w:bookmarkStart w:id="16" w:name="_Toc328388095"/>
      <w:bookmarkStart w:id="17" w:name="_Toc345342918"/>
      <w:r w:rsidRPr="00DF0CD6">
        <w:t>Models for financing students of higher education</w:t>
      </w:r>
      <w:bookmarkEnd w:id="15"/>
      <w:bookmarkEnd w:id="16"/>
      <w:bookmarkEnd w:id="17"/>
    </w:p>
    <w:p w:rsidR="006357C5" w:rsidRPr="00DF0CD6" w:rsidRDefault="006357C5" w:rsidP="006357C5">
      <w:pPr>
        <w:jc w:val="both"/>
      </w:pPr>
    </w:p>
    <w:p w:rsidR="006357C5" w:rsidRPr="00DF0CD6" w:rsidRDefault="006357C5" w:rsidP="006357C5">
      <w:pPr>
        <w:jc w:val="both"/>
      </w:pPr>
      <w:r w:rsidRPr="00DF0CD6">
        <w:t>As highlighted in the introduction of this annex, the proportion of public expenditure in tertiary education that is allocated through student financial aid varies widely across the OECD.</w:t>
      </w:r>
      <w:r>
        <w:t xml:space="preserve"> </w:t>
      </w:r>
      <w:r w:rsidRPr="00DF0CD6">
        <w:t xml:space="preserve">Only the United Kingdom, Australia, New Zealand, Norway and Chile allocate more than 30 percent of the total public expenditure in tertiary education through financial aid to students (Figure </w:t>
      </w:r>
      <w:r>
        <w:t>36</w:t>
      </w:r>
      <w:r w:rsidRPr="00DF0CD6">
        <w:t xml:space="preserve">). </w:t>
      </w:r>
    </w:p>
    <w:p w:rsidR="006357C5" w:rsidRPr="00DF0CD6" w:rsidRDefault="006357C5" w:rsidP="006357C5">
      <w:pPr>
        <w:jc w:val="both"/>
      </w:pPr>
    </w:p>
    <w:p w:rsidR="006357C5" w:rsidRDefault="006357C5" w:rsidP="006357C5">
      <w:pPr>
        <w:pStyle w:val="FigureHeading"/>
        <w:rPr>
          <w:rFonts w:ascii="Cambria" w:hAnsi="Cambria"/>
          <w:color w:val="365F91"/>
          <w:sz w:val="28"/>
        </w:rPr>
      </w:pPr>
      <w:bookmarkStart w:id="18" w:name="_Toc328742966"/>
      <w:r w:rsidRPr="00DF0CD6">
        <w:t xml:space="preserve">Figure </w:t>
      </w:r>
      <w:r>
        <w:t>36:</w:t>
      </w:r>
      <w:r w:rsidRPr="00DF0CD6">
        <w:t xml:space="preserve"> Public subsidies for financial aid to students as a percentage of total public expenditure on tertiary education, 2007</w:t>
      </w:r>
      <w:bookmarkEnd w:id="18"/>
    </w:p>
    <w:p w:rsidR="006357C5" w:rsidRPr="00DF0CD6" w:rsidRDefault="006357C5" w:rsidP="006357C5"/>
    <w:p w:rsidR="006357C5" w:rsidRPr="00DF0CD6" w:rsidRDefault="006357C5" w:rsidP="006357C5">
      <w:r>
        <w:rPr>
          <w:noProof/>
        </w:rPr>
        <w:drawing>
          <wp:inline distT="0" distB="0" distL="0" distR="0" wp14:anchorId="06319285" wp14:editId="36CEAF04">
            <wp:extent cx="5855724" cy="3555745"/>
            <wp:effectExtent l="12187" t="6097" r="6474" b="1143"/>
            <wp:docPr id="60" name="C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357C5" w:rsidRPr="00DF0CD6" w:rsidRDefault="006357C5" w:rsidP="006357C5"/>
    <w:p w:rsidR="006357C5" w:rsidRPr="00DF0CD6" w:rsidRDefault="006357C5" w:rsidP="006357C5">
      <w:pPr>
        <w:jc w:val="both"/>
        <w:rPr>
          <w:iCs/>
        </w:rPr>
      </w:pPr>
      <w:r w:rsidRPr="00DF0CD6">
        <w:rPr>
          <w:iCs/>
        </w:rPr>
        <w:t>The way in which resources for tertiary education student financial aid are allocated also varies across countries.</w:t>
      </w:r>
      <w:r>
        <w:rPr>
          <w:iCs/>
        </w:rPr>
        <w:t xml:space="preserve"> </w:t>
      </w:r>
      <w:r w:rsidRPr="00DF0CD6">
        <w:rPr>
          <w:iCs/>
        </w:rPr>
        <w:t>The first distinction is between systems of publicly funded grants and loan schemes. Most countries use a combination of these two instruments in their approaches to student financial aid, and in a few cases “support is provided to students in the form of grant/loan in which the aid begins in one form and, over time, transforms into the other” (Salmi and Hauptman, 2006 p. 28).</w:t>
      </w:r>
      <w:r>
        <w:rPr>
          <w:iCs/>
        </w:rPr>
        <w:t xml:space="preserve"> </w:t>
      </w:r>
      <w:r w:rsidRPr="00DF0CD6">
        <w:rPr>
          <w:iCs/>
        </w:rPr>
        <w:t xml:space="preserve">Key differences in the design of loans and grants schemes are depicted in </w:t>
      </w:r>
      <w:r>
        <w:t xml:space="preserve">Table 47 </w:t>
      </w:r>
      <w:r w:rsidRPr="00DF0CD6">
        <w:rPr>
          <w:iCs/>
        </w:rPr>
        <w:t xml:space="preserve">and described in the text that follows. </w:t>
      </w:r>
    </w:p>
    <w:p w:rsidR="006357C5" w:rsidRDefault="006357C5" w:rsidP="006357C5">
      <w:pPr>
        <w:rPr>
          <w:iCs/>
        </w:rPr>
      </w:pPr>
    </w:p>
    <w:p w:rsidR="006357C5" w:rsidRDefault="006357C5" w:rsidP="006357C5">
      <w:pPr>
        <w:rPr>
          <w:b/>
        </w:rPr>
      </w:pPr>
      <w:r>
        <w:rPr>
          <w:b/>
        </w:rPr>
        <w:br w:type="page"/>
      </w:r>
    </w:p>
    <w:p w:rsidR="006357C5" w:rsidRDefault="006357C5" w:rsidP="006357C5">
      <w:pPr>
        <w:pStyle w:val="TableHeading"/>
      </w:pPr>
      <w:bookmarkStart w:id="19" w:name="_Toc328382209"/>
      <w:bookmarkStart w:id="20" w:name="_Toc328742893"/>
      <w:r w:rsidRPr="00DF0CD6">
        <w:lastRenderedPageBreak/>
        <w:t xml:space="preserve">Table </w:t>
      </w:r>
      <w:r>
        <w:t>47</w:t>
      </w:r>
      <w:r w:rsidRPr="00DF0CD6">
        <w:t>: Approaches to student support, 2007</w:t>
      </w:r>
      <w:bookmarkEnd w:id="19"/>
      <w:bookmarkEnd w:id="20"/>
    </w:p>
    <w:p w:rsidR="006357C5" w:rsidRPr="00DF0CD6" w:rsidRDefault="006357C5" w:rsidP="006357C5">
      <w:pPr>
        <w:rPr>
          <w:b/>
        </w:rPr>
      </w:pPr>
    </w:p>
    <w:p w:rsidR="006357C5" w:rsidRPr="00DF0CD6" w:rsidRDefault="006357C5" w:rsidP="006357C5">
      <w:pPr>
        <w:spacing w:line="360" w:lineRule="auto"/>
        <w:rPr>
          <w:b/>
          <w:color w:val="4F81BD"/>
        </w:rPr>
      </w:pPr>
      <w:r>
        <w:rPr>
          <w:noProof/>
        </w:rPr>
        <w:drawing>
          <wp:inline distT="0" distB="0" distL="0" distR="0" wp14:anchorId="321CF6DC" wp14:editId="1C371790">
            <wp:extent cx="5900420" cy="3190875"/>
            <wp:effectExtent l="19050" t="0" r="5080" b="0"/>
            <wp:docPr id="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900420" cy="3190875"/>
                    </a:xfrm>
                    <a:prstGeom prst="rect">
                      <a:avLst/>
                    </a:prstGeom>
                    <a:noFill/>
                    <a:ln w="9525">
                      <a:noFill/>
                      <a:miter lim="800000"/>
                      <a:headEnd/>
                      <a:tailEnd/>
                    </a:ln>
                  </pic:spPr>
                </pic:pic>
              </a:graphicData>
            </a:graphic>
          </wp:inline>
        </w:drawing>
      </w:r>
    </w:p>
    <w:p w:rsidR="006357C5" w:rsidRDefault="006357C5" w:rsidP="006357C5">
      <w:pPr>
        <w:pStyle w:val="Heading3"/>
        <w:spacing w:before="0"/>
        <w:jc w:val="both"/>
        <w:rPr>
          <w:rFonts w:ascii="Arial" w:hAnsi="Arial" w:cs="Arial"/>
        </w:rPr>
      </w:pPr>
      <w:bookmarkStart w:id="21" w:name="_Toc328387878"/>
      <w:bookmarkStart w:id="22" w:name="_Toc328388096"/>
      <w:bookmarkStart w:id="23" w:name="_Toc345342919"/>
      <w:r w:rsidRPr="00DF0CD6">
        <w:t>2</w:t>
      </w:r>
      <w:r w:rsidRPr="00DF0CD6">
        <w:rPr>
          <w:rFonts w:ascii="Arial" w:hAnsi="Arial" w:cs="Arial"/>
        </w:rPr>
        <w:t>.1</w:t>
      </w:r>
      <w:r w:rsidRPr="00DF0CD6">
        <w:rPr>
          <w:rFonts w:ascii="Arial" w:hAnsi="Arial" w:cs="Arial"/>
        </w:rPr>
        <w:tab/>
        <w:t>Grant schemes</w:t>
      </w:r>
      <w:bookmarkEnd w:id="21"/>
      <w:bookmarkEnd w:id="22"/>
      <w:bookmarkEnd w:id="23"/>
    </w:p>
    <w:p w:rsidR="006357C5" w:rsidRPr="00DF0CD6" w:rsidRDefault="006357C5" w:rsidP="006357C5">
      <w:pPr>
        <w:jc w:val="both"/>
        <w:rPr>
          <w:b/>
        </w:rPr>
      </w:pPr>
    </w:p>
    <w:p w:rsidR="006357C5" w:rsidRPr="00DF0CD6" w:rsidRDefault="006357C5" w:rsidP="006357C5">
      <w:pPr>
        <w:jc w:val="both"/>
        <w:rPr>
          <w:iCs/>
        </w:rPr>
      </w:pPr>
      <w:r w:rsidRPr="00DF0CD6">
        <w:rPr>
          <w:iCs/>
        </w:rPr>
        <w:t>An important difference in the implementation of grant schemes is their eligibility criteria. Although basic universal grants are available in some countries, means-tested grants schemes are the most common in the OECD.</w:t>
      </w:r>
      <w:r>
        <w:rPr>
          <w:iCs/>
        </w:rPr>
        <w:t xml:space="preserve"> </w:t>
      </w:r>
      <w:r w:rsidRPr="00DF0CD6">
        <w:rPr>
          <w:iCs/>
        </w:rPr>
        <w:t>A number of countries combine means-tested with merit-based grants. Very few countries provide grants on the basis of academic merit only, and the use of public funds for this purpose is questioned by the OECD, as: “no social purpose seems to be achieved: on the face of it, it is quite unlikely that any academically gifted students who are not in financial need would decide not to attend tertiary education without a merit-based grant. Thus these public funds would achieve better social results if they were only used to facilitate the access to tertiary education of academically talented and financially needy students” (2008, p. 223).</w:t>
      </w:r>
    </w:p>
    <w:p w:rsidR="006357C5" w:rsidRPr="00DF0CD6" w:rsidRDefault="006357C5" w:rsidP="006357C5">
      <w:pPr>
        <w:jc w:val="both"/>
        <w:rPr>
          <w:iCs/>
        </w:rPr>
      </w:pPr>
    </w:p>
    <w:p w:rsidR="006357C5" w:rsidRPr="00DF0CD6" w:rsidRDefault="006357C5" w:rsidP="006357C5">
      <w:pPr>
        <w:jc w:val="both"/>
        <w:rPr>
          <w:color w:val="000000"/>
        </w:rPr>
      </w:pPr>
      <w:r w:rsidRPr="00DF0CD6">
        <w:rPr>
          <w:iCs/>
        </w:rPr>
        <w:t xml:space="preserve">Another important dimension in defining grant programs refers to program administration, which can be directly through a government agency or indirectly through individual TEIs. In the first case, a specialized government agency determines who is eligible to receive the grant and the size of the grant. The funds are then transferred to the student or directly to the TEI if the grants should pay for tuition. In models of indirect provision, individual TEIs are granted earmarked funds for student support, which they can then allocate according to their own criteria. As pointed out by Salmi and Hauptman </w:t>
      </w:r>
      <w:r w:rsidRPr="00DF0CD6">
        <w:rPr>
          <w:color w:val="000000"/>
        </w:rPr>
        <w:t xml:space="preserve">(2006, p.31) </w:t>
      </w:r>
      <w:r w:rsidRPr="00DF0CD6">
        <w:rPr>
          <w:iCs/>
        </w:rPr>
        <w:t>the degree to which a government intervenes to set eligibility criteria for grants is influenced by the manner in which these grants are financed.</w:t>
      </w:r>
      <w:r w:rsidRPr="00DF0CD6">
        <w:rPr>
          <w:color w:val="000000"/>
        </w:rPr>
        <w:t xml:space="preserve"> The larger the contribution of the TEIs through their own funds, the smaller the role of the government in determining eligibility and vice versa. </w:t>
      </w:r>
    </w:p>
    <w:p w:rsidR="006357C5" w:rsidRDefault="006357C5" w:rsidP="006357C5">
      <w:pPr>
        <w:pStyle w:val="ListParagraph"/>
        <w:ind w:left="567"/>
        <w:jc w:val="both"/>
        <w:rPr>
          <w:color w:val="000000"/>
        </w:rPr>
      </w:pPr>
    </w:p>
    <w:p w:rsidR="006357C5" w:rsidRDefault="006357C5" w:rsidP="006357C5">
      <w:pPr>
        <w:pStyle w:val="ListParagraph"/>
        <w:ind w:left="0"/>
        <w:jc w:val="both"/>
        <w:rPr>
          <w:color w:val="1A1718"/>
        </w:rPr>
      </w:pPr>
      <w:r w:rsidRPr="00DF0CD6">
        <w:rPr>
          <w:iCs/>
        </w:rPr>
        <w:lastRenderedPageBreak/>
        <w:t>The OECD questions the optimality of granting individual institutions high levels of discretion over the rules and regulations of grant schemes as “t</w:t>
      </w:r>
      <w:r w:rsidRPr="00DF0CD6">
        <w:rPr>
          <w:color w:val="1A1718"/>
        </w:rPr>
        <w:t>here is a strong incentive for the institution to confer grants on the basis of merit, so as to attract the academically most qualified students, whereas social goals would favor the distribution of grants on the basis of financial need” (2008, p.223).</w:t>
      </w:r>
      <w:r>
        <w:rPr>
          <w:color w:val="1A1718"/>
        </w:rPr>
        <w:t xml:space="preserve"> </w:t>
      </w:r>
    </w:p>
    <w:p w:rsidR="006357C5" w:rsidRDefault="006357C5" w:rsidP="006357C5">
      <w:pPr>
        <w:pStyle w:val="ListParagraph"/>
        <w:ind w:left="0"/>
        <w:jc w:val="both"/>
        <w:rPr>
          <w:color w:val="1A1718"/>
        </w:rPr>
      </w:pPr>
    </w:p>
    <w:p w:rsidR="006357C5" w:rsidRDefault="006357C5" w:rsidP="006357C5">
      <w:pPr>
        <w:pStyle w:val="ListParagraph"/>
        <w:ind w:left="0"/>
        <w:jc w:val="both"/>
        <w:rPr>
          <w:color w:val="000000"/>
        </w:rPr>
      </w:pPr>
      <w:r w:rsidRPr="00DF0CD6">
        <w:rPr>
          <w:color w:val="1A1718"/>
        </w:rPr>
        <w:t xml:space="preserve">Salmi and Hauptman (2006) highlight an alternative and innovative system of program administration: the use of vouchers as a vehicle to provide grants to students. In this system, </w:t>
      </w:r>
      <w:r w:rsidRPr="00DF0CD6">
        <w:rPr>
          <w:color w:val="000000"/>
        </w:rPr>
        <w:t xml:space="preserve">eligibility is typically determined centrally by a government agency, which then extends vouchers to the students. Students redeem these vouchers against tuition fees and other direct costs at the institution in which they enroll and institutions then are able to redeem the value of the vouchers with the government. </w:t>
      </w:r>
    </w:p>
    <w:p w:rsidR="006357C5" w:rsidRDefault="006357C5" w:rsidP="006357C5">
      <w:pPr>
        <w:pStyle w:val="ListParagraph"/>
        <w:ind w:left="0"/>
        <w:jc w:val="both"/>
        <w:rPr>
          <w:iCs/>
        </w:rPr>
      </w:pPr>
    </w:p>
    <w:p w:rsidR="006357C5" w:rsidRDefault="006357C5" w:rsidP="006357C5">
      <w:pPr>
        <w:pStyle w:val="Heading3"/>
        <w:spacing w:before="0"/>
        <w:jc w:val="both"/>
        <w:rPr>
          <w:rFonts w:ascii="Times New Roman" w:hAnsi="Times New Roman"/>
        </w:rPr>
      </w:pPr>
      <w:bookmarkStart w:id="24" w:name="_Toc328387879"/>
      <w:bookmarkStart w:id="25" w:name="_Toc328388097"/>
      <w:bookmarkStart w:id="26" w:name="_Toc345342920"/>
      <w:r w:rsidRPr="00DF0CD6">
        <w:t>2.2</w:t>
      </w:r>
      <w:r>
        <w:t xml:space="preserve"> </w:t>
      </w:r>
      <w:r w:rsidRPr="00DF0CD6">
        <w:tab/>
        <w:t>Student</w:t>
      </w:r>
      <w:r w:rsidRPr="00DF0CD6">
        <w:rPr>
          <w:rFonts w:ascii="Times New Roman" w:hAnsi="Times New Roman"/>
        </w:rPr>
        <w:t xml:space="preserve"> </w:t>
      </w:r>
      <w:r w:rsidRPr="00DF0CD6">
        <w:t>loan</w:t>
      </w:r>
      <w:r w:rsidRPr="00DF0CD6">
        <w:rPr>
          <w:rFonts w:ascii="Times New Roman" w:hAnsi="Times New Roman"/>
        </w:rPr>
        <w:t xml:space="preserve"> </w:t>
      </w:r>
      <w:r w:rsidRPr="00DF0CD6">
        <w:t>schemes</w:t>
      </w:r>
      <w:bookmarkEnd w:id="24"/>
      <w:bookmarkEnd w:id="25"/>
      <w:bookmarkEnd w:id="26"/>
    </w:p>
    <w:p w:rsidR="006357C5" w:rsidRPr="00DF0CD6" w:rsidRDefault="006357C5" w:rsidP="006357C5">
      <w:pPr>
        <w:pStyle w:val="ListParagraph"/>
        <w:ind w:left="0"/>
        <w:jc w:val="both"/>
        <w:rPr>
          <w:iCs/>
        </w:rPr>
      </w:pPr>
    </w:p>
    <w:p w:rsidR="006357C5" w:rsidRPr="00DF0CD6" w:rsidRDefault="006357C5" w:rsidP="006357C5">
      <w:pPr>
        <w:pStyle w:val="ListParagraph"/>
        <w:ind w:left="0"/>
        <w:jc w:val="both"/>
        <w:rPr>
          <w:iCs/>
          <w:lang w:val="en-GB"/>
        </w:rPr>
      </w:pPr>
      <w:r w:rsidRPr="00DF0CD6">
        <w:rPr>
          <w:iCs/>
        </w:rPr>
        <w:t xml:space="preserve">As highlighted in </w:t>
      </w:r>
      <w:r>
        <w:t>Table 47</w:t>
      </w:r>
      <w:r w:rsidRPr="00DF0CD6">
        <w:rPr>
          <w:iCs/>
        </w:rPr>
        <w:t>, student loans schemes around the world can be classified in the first place by the source of funds used to finance them.</w:t>
      </w:r>
      <w:r>
        <w:rPr>
          <w:iCs/>
        </w:rPr>
        <w:t xml:space="preserve"> </w:t>
      </w:r>
      <w:r w:rsidRPr="00DF0CD6">
        <w:rPr>
          <w:iCs/>
        </w:rPr>
        <w:t xml:space="preserve">In general, student loan schemes can be financed directly with government funds, through the establishment of a public loan fund, or with resources from commercial banks with </w:t>
      </w:r>
      <w:r w:rsidRPr="00DF0CD6">
        <w:rPr>
          <w:iCs/>
          <w:lang w:val="en-GB"/>
        </w:rPr>
        <w:t xml:space="preserve">the government acting as a guarantor of credit provided by private institutions or providing interest rate subsidies. </w:t>
      </w:r>
    </w:p>
    <w:p w:rsidR="006357C5" w:rsidRPr="00DF0CD6" w:rsidRDefault="006357C5" w:rsidP="006357C5">
      <w:pPr>
        <w:pStyle w:val="ListParagraph"/>
        <w:ind w:left="0"/>
        <w:jc w:val="both"/>
        <w:rPr>
          <w:iCs/>
        </w:rPr>
      </w:pPr>
    </w:p>
    <w:p w:rsidR="006357C5" w:rsidRPr="00DF0CD6" w:rsidRDefault="006357C5" w:rsidP="006357C5">
      <w:pPr>
        <w:pStyle w:val="ListParagraph"/>
        <w:ind w:left="0"/>
        <w:jc w:val="both"/>
        <w:rPr>
          <w:iCs/>
        </w:rPr>
      </w:pPr>
      <w:r w:rsidRPr="00DF0CD6">
        <w:rPr>
          <w:iCs/>
        </w:rPr>
        <w:t>Other important design differences include program administration, repayment conditions, availability of interest rate subsidies, eligibility criteria, loan amounts and loan duration.</w:t>
      </w:r>
      <w:r>
        <w:rPr>
          <w:iCs/>
        </w:rPr>
        <w:t xml:space="preserve"> </w:t>
      </w:r>
      <w:r w:rsidRPr="00DF0CD6">
        <w:rPr>
          <w:iCs/>
        </w:rPr>
        <w:t>The following trends can be observed:</w:t>
      </w:r>
    </w:p>
    <w:p w:rsidR="006357C5" w:rsidRDefault="006357C5" w:rsidP="006357C5">
      <w:pPr>
        <w:pStyle w:val="ListParagraph"/>
        <w:ind w:left="567"/>
        <w:jc w:val="both"/>
        <w:rPr>
          <w:iCs/>
        </w:rPr>
      </w:pPr>
    </w:p>
    <w:p w:rsidR="006357C5" w:rsidRDefault="006357C5" w:rsidP="006357C5">
      <w:pPr>
        <w:pStyle w:val="ListParagraph"/>
        <w:numPr>
          <w:ilvl w:val="0"/>
          <w:numId w:val="6"/>
        </w:numPr>
        <w:ind w:left="720"/>
        <w:jc w:val="both"/>
        <w:rPr>
          <w:iCs/>
        </w:rPr>
      </w:pPr>
      <w:r w:rsidRPr="00DF0CD6">
        <w:rPr>
          <w:iCs/>
        </w:rPr>
        <w:t xml:space="preserve">Student loan schemes exists in 15 out of the 23 countries in the table, eight of these countries provide loans through a public loan fund, four countries use government guaranteed or subsidized commercial loans and three countries use a combination of these two mechanisms. </w:t>
      </w:r>
    </w:p>
    <w:p w:rsidR="006357C5" w:rsidRPr="00DF0CD6" w:rsidRDefault="006357C5" w:rsidP="006357C5">
      <w:pPr>
        <w:pStyle w:val="ListParagraph"/>
        <w:ind w:left="1287"/>
        <w:jc w:val="both"/>
        <w:rPr>
          <w:iCs/>
        </w:rPr>
      </w:pPr>
    </w:p>
    <w:p w:rsidR="006357C5" w:rsidRDefault="006357C5" w:rsidP="006357C5">
      <w:pPr>
        <w:pStyle w:val="ListParagraph"/>
        <w:numPr>
          <w:ilvl w:val="0"/>
          <w:numId w:val="6"/>
        </w:numPr>
        <w:ind w:left="720"/>
        <w:jc w:val="both"/>
        <w:rPr>
          <w:iCs/>
        </w:rPr>
      </w:pPr>
      <w:r w:rsidRPr="00DF0CD6">
        <w:rPr>
          <w:iCs/>
        </w:rPr>
        <w:t xml:space="preserve">Regarding program administration, in countries that have established a public Loan Fund the administrative responsibilities can either (a) lie within government, (b) lie within an intermediate agency, (c) be shared by tertiary institutions and government authorities, (d) be shared by government authorities and intermediate agencies or (e) be shared between tertiary institutions and intermediate agencies. In countries that use commercial bank loans guaranteed by the government, administration is either carried out by banks themselves or by an intermediate agency, and TEIs can also play a role in the administration. </w:t>
      </w:r>
    </w:p>
    <w:p w:rsidR="006357C5" w:rsidRPr="00DF0CD6" w:rsidRDefault="006357C5" w:rsidP="006357C5">
      <w:pPr>
        <w:ind w:left="720"/>
        <w:jc w:val="both"/>
        <w:rPr>
          <w:iCs/>
        </w:rPr>
      </w:pPr>
    </w:p>
    <w:p w:rsidR="006357C5" w:rsidRDefault="006357C5" w:rsidP="006357C5">
      <w:pPr>
        <w:pStyle w:val="ListParagraph"/>
        <w:numPr>
          <w:ilvl w:val="0"/>
          <w:numId w:val="6"/>
        </w:numPr>
        <w:ind w:left="720"/>
        <w:jc w:val="both"/>
        <w:rPr>
          <w:iCs/>
        </w:rPr>
      </w:pPr>
      <w:r w:rsidRPr="00DF0CD6">
        <w:rPr>
          <w:iCs/>
        </w:rPr>
        <w:t>In general, repayment plans are either mortgage-type or income- contingent. In some cases, mortgage type plans offer the possibility of switching to an income contingent scheme.</w:t>
      </w:r>
      <w:r>
        <w:rPr>
          <w:iCs/>
        </w:rPr>
        <w:t xml:space="preserve"> </w:t>
      </w:r>
      <w:r w:rsidRPr="00DF0CD6">
        <w:rPr>
          <w:iCs/>
        </w:rPr>
        <w:t xml:space="preserve">In the case of mortgage-type plans, most student loan schemes offer their beneficiaries a grace period after the end of the studies. In cases where loans are provided by commercial banks the existence and duration of grace periods can be </w:t>
      </w:r>
      <w:r w:rsidRPr="00DF0CD6">
        <w:rPr>
          <w:iCs/>
        </w:rPr>
        <w:lastRenderedPageBreak/>
        <w:t>determined at the discretion of commercial institutions. Some income-contingent plans also have incorporated grace periods, though in the majority of them repayments begin once the beneficiary reaches a certain income threshold.</w:t>
      </w:r>
      <w:r>
        <w:rPr>
          <w:iCs/>
        </w:rPr>
        <w:t xml:space="preserve"> </w:t>
      </w:r>
      <w:r w:rsidRPr="00DF0CD6">
        <w:rPr>
          <w:iCs/>
        </w:rPr>
        <w:t>In some cases, loan schemes also establish conditions for loan forgiveness, for instance when the loan has not been fully repaid after a number of years or by a certain age, when the graduate faces financial difficulties, when the graduate is employed in specific sectors or when certain academic criteria are met.</w:t>
      </w:r>
    </w:p>
    <w:p w:rsidR="006357C5" w:rsidRPr="00DF0CD6" w:rsidRDefault="006357C5" w:rsidP="006357C5">
      <w:pPr>
        <w:ind w:left="720"/>
        <w:jc w:val="both"/>
        <w:rPr>
          <w:iCs/>
        </w:rPr>
      </w:pPr>
    </w:p>
    <w:p w:rsidR="006357C5" w:rsidRDefault="006357C5" w:rsidP="006357C5">
      <w:pPr>
        <w:pStyle w:val="ListParagraph"/>
        <w:numPr>
          <w:ilvl w:val="0"/>
          <w:numId w:val="6"/>
        </w:numPr>
        <w:ind w:left="720"/>
        <w:jc w:val="both"/>
        <w:rPr>
          <w:iCs/>
        </w:rPr>
      </w:pPr>
      <w:r w:rsidRPr="00DF0CD6">
        <w:rPr>
          <w:iCs/>
        </w:rPr>
        <w:t xml:space="preserve">Approaches to interest rate subsidization also vary widely across countries. On one end of the spectrum are countries that do not subsidize loan interest either during the course of studies or during the repayment period, but where students benefit from the government’s borrowing rate which is typically lower than that proposed by commercial banks. On the other end lie countries where the loan interest is publicly subsidized during both the period of studies and the repayment period. In the middle lie countries that subsidize interest rates during the period of studies, during the grace period, when interest rates exceed a certain threshold or when the borrower faces financial difficulties. </w:t>
      </w:r>
    </w:p>
    <w:p w:rsidR="006357C5" w:rsidRDefault="006357C5" w:rsidP="006357C5">
      <w:pPr>
        <w:ind w:left="720"/>
        <w:jc w:val="both"/>
        <w:rPr>
          <w:iCs/>
        </w:rPr>
      </w:pPr>
    </w:p>
    <w:p w:rsidR="006357C5" w:rsidRDefault="006357C5" w:rsidP="006357C5">
      <w:pPr>
        <w:pStyle w:val="ListParagraph"/>
        <w:numPr>
          <w:ilvl w:val="0"/>
          <w:numId w:val="6"/>
        </w:numPr>
        <w:ind w:left="720"/>
        <w:jc w:val="both"/>
        <w:rPr>
          <w:iCs/>
        </w:rPr>
      </w:pPr>
      <w:r w:rsidRPr="00DF0CD6">
        <w:rPr>
          <w:iCs/>
        </w:rPr>
        <w:t>Eligibility criteria for student loans are often defined with respect to both student characteristics and the characteristics of the TEI in which the students enroll. Regarding student characteristics, the range of possibilities for eligibility is similar to those that define grant schemes. Student loans can be available to all students regardless of their need of merit, or they can be means-tested and/or merit-based. Regarding TEI characteristics, some countries provide loans only to students that attend public or publicly dependent TEIs, while others include private TEIs as well. Accreditation requirements are also often used to determine eligibility.</w:t>
      </w:r>
      <w:r>
        <w:rPr>
          <w:iCs/>
        </w:rPr>
        <w:t xml:space="preserve"> </w:t>
      </w:r>
    </w:p>
    <w:p w:rsidR="006357C5" w:rsidRDefault="006357C5" w:rsidP="006357C5">
      <w:pPr>
        <w:ind w:left="720"/>
        <w:jc w:val="both"/>
        <w:rPr>
          <w:iCs/>
        </w:rPr>
      </w:pPr>
    </w:p>
    <w:p w:rsidR="006357C5" w:rsidRDefault="006357C5" w:rsidP="006357C5">
      <w:pPr>
        <w:pStyle w:val="ListParagraph"/>
        <w:numPr>
          <w:ilvl w:val="0"/>
          <w:numId w:val="6"/>
        </w:numPr>
        <w:ind w:left="720"/>
        <w:jc w:val="both"/>
        <w:rPr>
          <w:iCs/>
        </w:rPr>
      </w:pPr>
      <w:r w:rsidRPr="00DF0CD6">
        <w:rPr>
          <w:iCs/>
        </w:rPr>
        <w:t>In all countries, there is a maximum amount and a maximum duration of studies for which the student can borrow. Generally, the maximum amount is differentiated across different types of students and is determined in relation with the cost and/or duration of the program. Other criteria used to determine this amount include:</w:t>
      </w:r>
      <w:r>
        <w:rPr>
          <w:iCs/>
        </w:rPr>
        <w:t xml:space="preserve"> </w:t>
      </w:r>
      <w:r w:rsidRPr="00DF0CD6">
        <w:rPr>
          <w:iCs/>
        </w:rPr>
        <w:t>the type of institution, whether the borrower is a full- or part-time student, the cost of living, measures of financial need, parental dependence, and whether the student is receiving grants. In terms of maximum duration, some countries make it equivalent to the stated duration of the program, while others have more lenient approaches that allow students to borrow for a longer period of time.</w:t>
      </w:r>
    </w:p>
    <w:p w:rsidR="006357C5" w:rsidRDefault="006357C5" w:rsidP="006357C5">
      <w:pPr>
        <w:jc w:val="both"/>
        <w:rPr>
          <w:iCs/>
        </w:rPr>
      </w:pPr>
    </w:p>
    <w:p w:rsidR="006357C5" w:rsidRDefault="006357C5" w:rsidP="006357C5">
      <w:pPr>
        <w:pStyle w:val="Heading3"/>
        <w:numPr>
          <w:ilvl w:val="0"/>
          <w:numId w:val="4"/>
        </w:numPr>
        <w:spacing w:before="0"/>
        <w:ind w:left="851"/>
        <w:jc w:val="both"/>
      </w:pPr>
      <w:bookmarkStart w:id="27" w:name="_Toc328387880"/>
      <w:bookmarkStart w:id="28" w:name="_Toc328388098"/>
      <w:bookmarkStart w:id="29" w:name="_Toc345342921"/>
      <w:r w:rsidRPr="00DF0CD6">
        <w:t>General principles for funding tertiary education, an OECD perspective</w:t>
      </w:r>
      <w:bookmarkEnd w:id="27"/>
      <w:bookmarkEnd w:id="28"/>
      <w:bookmarkEnd w:id="29"/>
    </w:p>
    <w:p w:rsidR="006357C5" w:rsidRPr="00DF0CD6" w:rsidRDefault="006357C5" w:rsidP="006357C5">
      <w:pPr>
        <w:pStyle w:val="Style1"/>
        <w:numPr>
          <w:ilvl w:val="0"/>
          <w:numId w:val="0"/>
        </w:numPr>
        <w:spacing w:line="276" w:lineRule="auto"/>
        <w:ind w:left="720"/>
        <w:jc w:val="both"/>
        <w:rPr>
          <w:rFonts w:ascii="Arial" w:hAnsi="Arial" w:cs="Arial"/>
          <w:sz w:val="22"/>
          <w:szCs w:val="22"/>
        </w:rPr>
      </w:pPr>
    </w:p>
    <w:p w:rsidR="006357C5" w:rsidRDefault="006357C5" w:rsidP="006357C5">
      <w:pPr>
        <w:jc w:val="both"/>
      </w:pPr>
      <w:r w:rsidRPr="00DF0CD6">
        <w:t xml:space="preserve">The previous sections have reviewed the different ways in which governments can finance tertiary education, either by direct funding of tertiary education institutions or by providing financial aid to students. In addition, they have provided specific and detailed examples of country funding systems. </w:t>
      </w:r>
    </w:p>
    <w:p w:rsidR="006357C5" w:rsidRPr="00DF0CD6" w:rsidRDefault="006357C5" w:rsidP="006357C5">
      <w:pPr>
        <w:jc w:val="both"/>
      </w:pPr>
    </w:p>
    <w:p w:rsidR="006357C5" w:rsidRPr="00DF0CD6" w:rsidRDefault="006357C5" w:rsidP="006357C5">
      <w:pPr>
        <w:jc w:val="both"/>
      </w:pPr>
      <w:r w:rsidRPr="00DF0CD6">
        <w:lastRenderedPageBreak/>
        <w:t>The OECD’s thematic review of tertiary education is perhaps the most comprehensive international review of tertiary education policies, and as such contains a high level of detail on tertiary education funding practices around the world.</w:t>
      </w:r>
      <w:r>
        <w:t xml:space="preserve"> </w:t>
      </w:r>
      <w:r w:rsidRPr="00DF0CD6">
        <w:t>This section reproduces the pointers for tertiary education funding policy developed by the OECD based on their thematic review of tertiary education.</w:t>
      </w:r>
      <w:r>
        <w:t xml:space="preserve"> </w:t>
      </w:r>
      <w:r w:rsidRPr="00DF0CD6">
        <w:t>Given the scope of the review (24 countries participated); these policy pointers can be considered general principles for the funding of tertiary education, which a country in the process of reforming its funding system should consider.</w:t>
      </w:r>
      <w:r>
        <w:t xml:space="preserve"> </w:t>
      </w:r>
    </w:p>
    <w:p w:rsidR="006357C5" w:rsidRPr="00DF0CD6" w:rsidRDefault="006357C5" w:rsidP="006357C5"/>
    <w:p w:rsidR="006357C5" w:rsidRPr="00CF264C" w:rsidRDefault="006357C5" w:rsidP="006357C5">
      <w:pPr>
        <w:rPr>
          <w:b/>
        </w:rPr>
      </w:pPr>
      <w:r w:rsidRPr="00CF264C">
        <w:rPr>
          <w:b/>
        </w:rPr>
        <w:t>Policy directions for matching funding strategies with national priorities</w:t>
      </w:r>
    </w:p>
    <w:p w:rsidR="006357C5" w:rsidRDefault="006357C5" w:rsidP="006357C5">
      <w:pP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56"/>
      </w:tblGrid>
      <w:tr w:rsidR="006357C5" w:rsidRPr="00DC71B4" w:rsidTr="002554CF">
        <w:trPr>
          <w:jc w:val="center"/>
        </w:trPr>
        <w:tc>
          <w:tcPr>
            <w:tcW w:w="8856" w:type="dxa"/>
            <w:shd w:val="clear" w:color="auto" w:fill="F2F2F2"/>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
                <w:color w:val="1A1718"/>
              </w:rPr>
            </w:pPr>
            <w:r w:rsidRPr="00DC71B4">
              <w:rPr>
                <w:b/>
                <w:color w:val="1A1718"/>
              </w:rPr>
              <w:t>Develop a funding strategy that facilitates the contribution of the tertiary education system to society and the economy</w:t>
            </w: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The overarching principle for the development of any funding strategy is that public funds steer the tertiary education system in a way that facilitates its contribution to society and the economy. This requires the definition of the goals and objectives of the system through which this contribution is realized.</w:t>
            </w:r>
          </w:p>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Make the funding approach consistent with the goals of the tertiary education system e.g. expansion, quality, cost effectiveness, equity, institutional or system capacity – which differ across countries at a given point in time.</w:t>
            </w:r>
          </w:p>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xml:space="preserve">Ensure the approach is transparent, flexible, predictable, fair (to institutions, students and taxpayers), ensures public accountability, permits freedom to innovate, is sensitive to institutional autonomy, is demand-driven, recognizes the missions of institutions, and is open to private institutions, as applicable. </w:t>
            </w:r>
          </w:p>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Articulate a long-term strategy including investment plans and schemes to raise additional resources. Identify programs and policies that should receive priority for new public fund.</w:t>
            </w:r>
          </w:p>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p>
        </w:tc>
      </w:tr>
      <w:tr w:rsidR="006357C5" w:rsidRPr="00DC71B4" w:rsidTr="002554CF">
        <w:trPr>
          <w:jc w:val="center"/>
        </w:trPr>
        <w:tc>
          <w:tcPr>
            <w:tcW w:w="8856" w:type="dxa"/>
            <w:shd w:val="clear" w:color="auto" w:fill="F2F2F2"/>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
                <w:bCs/>
                <w:color w:val="1A1718"/>
              </w:rPr>
            </w:pPr>
            <w:r w:rsidRPr="00DC71B4">
              <w:rPr>
                <w:b/>
                <w:bCs/>
                <w:color w:val="1A1718"/>
              </w:rPr>
              <w:t xml:space="preserve">Use cost-sharing between the state and the students </w:t>
            </w: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xml:space="preserve">Provide public subsidies for tertiary education studies in public or private institutions, but without bearing a top-heavy share of the costs, since there are significant private benefits to tertiary education. </w:t>
            </w:r>
          </w:p>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xml:space="preserve">Charge tuition fees to students, especially if limited public funding rations the number of students, jeopardizes levels of spending per student, or restricts financial support for disadvantaged groups. Savings from cost sharing can be used for broadening access to tertiary education through strengthened student support systems. </w:t>
            </w:r>
          </w:p>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xml:space="preserve">In countries with little tradition of tuition fees, launch a public debate to help clarify whether: </w:t>
            </w:r>
          </w:p>
          <w:p w:rsidR="006357C5" w:rsidRDefault="006357C5" w:rsidP="006357C5">
            <w:pPr>
              <w:pStyle w:val="ListParagraph"/>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hanging="207"/>
              <w:jc w:val="both"/>
              <w:rPr>
                <w:bCs/>
                <w:color w:val="1A1718"/>
              </w:rPr>
            </w:pPr>
            <w:r w:rsidRPr="00DC71B4">
              <w:rPr>
                <w:bCs/>
                <w:color w:val="1A1718"/>
              </w:rPr>
              <w:t>heavy reliance on public money is sustainable</w:t>
            </w:r>
          </w:p>
          <w:p w:rsidR="006357C5" w:rsidRDefault="006357C5" w:rsidP="006357C5">
            <w:pPr>
              <w:pStyle w:val="ListParagraph"/>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hanging="207"/>
              <w:jc w:val="both"/>
              <w:rPr>
                <w:bCs/>
                <w:color w:val="1A1718"/>
              </w:rPr>
            </w:pPr>
            <w:r w:rsidRPr="00DC71B4">
              <w:rPr>
                <w:bCs/>
                <w:color w:val="1A1718"/>
              </w:rPr>
              <w:t xml:space="preserve">private benefits are so low as to justify low fees, especially of the more affluent students </w:t>
            </w:r>
          </w:p>
          <w:p w:rsidR="006357C5" w:rsidRDefault="006357C5" w:rsidP="006357C5">
            <w:pPr>
              <w:pStyle w:val="ListParagraph"/>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hanging="207"/>
              <w:jc w:val="both"/>
              <w:rPr>
                <w:bCs/>
                <w:color w:val="1A1718"/>
              </w:rPr>
            </w:pPr>
            <w:r w:rsidRPr="00DC71B4">
              <w:rPr>
                <w:bCs/>
                <w:color w:val="1A1718"/>
              </w:rPr>
              <w:t xml:space="preserve">higher fees for more affluent students could consolidate the student support system </w:t>
            </w: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bCs/>
                <w:color w:val="1A1718"/>
              </w:rPr>
            </w:pPr>
            <w:r w:rsidRPr="00DC71B4">
              <w:rPr>
                <w:bCs/>
                <w:color w:val="1A1718"/>
              </w:rPr>
              <w:t xml:space="preserve">Consider tuition fee stabilization policies to ensure cost containment and moderation. </w:t>
            </w: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xml:space="preserve">Allow institutions to differentiate tuition fees across courses to make systems more </w:t>
            </w:r>
            <w:r w:rsidRPr="00DC71B4">
              <w:rPr>
                <w:bCs/>
                <w:color w:val="1A1718"/>
              </w:rPr>
              <w:lastRenderedPageBreak/>
              <w:t>responsive to student and employer preferences and generate efficiency gains</w:t>
            </w:r>
          </w:p>
        </w:tc>
      </w:tr>
      <w:tr w:rsidR="006357C5" w:rsidRPr="00DC71B4" w:rsidTr="002554CF">
        <w:trPr>
          <w:jc w:val="center"/>
        </w:trPr>
        <w:tc>
          <w:tcPr>
            <w:tcW w:w="8856" w:type="dxa"/>
            <w:shd w:val="clear" w:color="auto" w:fill="F2F2F2"/>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
                <w:bCs/>
                <w:caps/>
                <w:color w:val="1A1718"/>
              </w:rPr>
            </w:pPr>
            <w:r w:rsidRPr="00DC71B4">
              <w:rPr>
                <w:b/>
                <w:bCs/>
                <w:color w:val="1A1718"/>
              </w:rPr>
              <w:lastRenderedPageBreak/>
              <w:t>Publicly subsidize tertiary programs in relation to benefits to society</w:t>
            </w:r>
            <w:r w:rsidRPr="00DC71B4">
              <w:rPr>
                <w:b/>
                <w:bCs/>
                <w:caps/>
                <w:color w:val="1A1718"/>
              </w:rPr>
              <w:t xml:space="preserve"> </w:t>
            </w: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xml:space="preserve">Establish broad principles to differentiate levels of public subsidies across programs including: </w:t>
            </w:r>
          </w:p>
          <w:p w:rsidR="006357C5" w:rsidRDefault="006357C5" w:rsidP="006357C5">
            <w:pPr>
              <w:pStyle w:val="ListParagraph"/>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hanging="207"/>
              <w:jc w:val="both"/>
              <w:rPr>
                <w:bCs/>
                <w:color w:val="1A1718"/>
              </w:rPr>
            </w:pPr>
            <w:r w:rsidRPr="00DC71B4">
              <w:rPr>
                <w:bCs/>
                <w:color w:val="1A1718"/>
              </w:rPr>
              <w:t>Providing high levels of public subsidies to priority fields of high relevance (e.g. when graduate numbers fall short of demand) and less subsidies to popular programs with high private returns to graduates.</w:t>
            </w:r>
          </w:p>
          <w:p w:rsidR="006357C5" w:rsidRDefault="006357C5" w:rsidP="006357C5">
            <w:pPr>
              <w:pStyle w:val="ListParagraph"/>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hanging="207"/>
              <w:jc w:val="both"/>
              <w:rPr>
                <w:bCs/>
                <w:color w:val="1A1718"/>
              </w:rPr>
            </w:pPr>
            <w:r w:rsidRPr="00DC71B4">
              <w:rPr>
                <w:bCs/>
                <w:color w:val="1A1718"/>
              </w:rPr>
              <w:t>New programs should be assessed for relevance – e.g. whether they respond to labor market needs, foster innovation or serve communities’ aspirations – before approval.</w:t>
            </w:r>
          </w:p>
          <w:p w:rsidR="006357C5" w:rsidRDefault="006357C5" w:rsidP="006357C5">
            <w:pPr>
              <w:pStyle w:val="ListParagraph"/>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hanging="207"/>
              <w:jc w:val="both"/>
              <w:rPr>
                <w:bCs/>
                <w:color w:val="1A1718"/>
              </w:rPr>
            </w:pPr>
            <w:r w:rsidRPr="00DC71B4">
              <w:rPr>
                <w:bCs/>
                <w:color w:val="1A1718"/>
              </w:rPr>
              <w:t>Ensuring relevance to society requires a robust system of quality assurance since low-quality programs are, for example, unlikely to be relevant to the labor market.</w:t>
            </w:r>
          </w:p>
          <w:p w:rsidR="006357C5" w:rsidRPr="00DC71B4" w:rsidRDefault="006357C5" w:rsidP="002554CF">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Publicly subsidize properly accredited tertiary courses offered by private institutions. There is no economic argument to discriminate between public and private institutions as long as quality is assured.</w:t>
            </w: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Make institutional funding for instruction formula-driven, using both input and output indicators and including strategically targeted components:</w:t>
            </w:r>
          </w:p>
          <w:p w:rsidR="006357C5" w:rsidRDefault="006357C5" w:rsidP="006357C5">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7" w:hanging="207"/>
              <w:jc w:val="both"/>
              <w:rPr>
                <w:bCs/>
                <w:color w:val="1A1718"/>
              </w:rPr>
            </w:pPr>
            <w:r w:rsidRPr="00DC71B4">
              <w:rPr>
                <w:bCs/>
                <w:color w:val="1A1718"/>
              </w:rPr>
              <w:t>Base institutional block grants on transparent formulas with a balanced array of input and output indicators.</w:t>
            </w:r>
          </w:p>
          <w:p w:rsidR="006357C5" w:rsidRDefault="006357C5" w:rsidP="006357C5">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7" w:hanging="207"/>
              <w:jc w:val="both"/>
              <w:rPr>
                <w:bCs/>
                <w:color w:val="1A1718"/>
              </w:rPr>
            </w:pPr>
            <w:r w:rsidRPr="00DC71B4">
              <w:rPr>
                <w:bCs/>
                <w:color w:val="1A1718"/>
              </w:rPr>
              <w:t>Consider allocating institutional funding by performance agreements or contracts negotiated between the State and individual institutions.</w:t>
            </w:r>
          </w:p>
          <w:p w:rsidR="006357C5" w:rsidRDefault="006357C5" w:rsidP="006357C5">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7" w:hanging="207"/>
              <w:jc w:val="both"/>
              <w:rPr>
                <w:bCs/>
                <w:color w:val="1A1718"/>
              </w:rPr>
            </w:pPr>
            <w:r w:rsidRPr="00DC71B4">
              <w:rPr>
                <w:bCs/>
                <w:color w:val="1A1718"/>
              </w:rPr>
              <w:t>Include targeted development programs to help align the mission of institutions with the overall strategy for tertiary education. But a multitude of targeted funds risks reducing transparency and increasing transaction costs.</w:t>
            </w:r>
          </w:p>
          <w:p w:rsidR="006357C5" w:rsidRDefault="006357C5" w:rsidP="006357C5">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7" w:hanging="207"/>
              <w:jc w:val="both"/>
              <w:rPr>
                <w:bCs/>
                <w:color w:val="1A1718"/>
              </w:rPr>
            </w:pPr>
            <w:r w:rsidRPr="00DC71B4">
              <w:rPr>
                <w:bCs/>
                <w:color w:val="1A1718"/>
              </w:rPr>
              <w:t>Allocating funds to institutions should follow a tailored approach recognizing the diversity of roles and missions of institutions.</w:t>
            </w:r>
          </w:p>
          <w:p w:rsidR="006357C5" w:rsidRDefault="006357C5" w:rsidP="006357C5">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7" w:hanging="207"/>
              <w:jc w:val="both"/>
              <w:rPr>
                <w:bCs/>
                <w:color w:val="1A1718"/>
              </w:rPr>
            </w:pPr>
            <w:r w:rsidRPr="00DC71B4">
              <w:rPr>
                <w:bCs/>
                <w:color w:val="1A1718"/>
              </w:rPr>
              <w:t>Give institutions autonomy in the use of their block grants.</w:t>
            </w:r>
          </w:p>
          <w:p w:rsidR="006357C5" w:rsidRDefault="006357C5" w:rsidP="006357C5">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7" w:hanging="207"/>
              <w:jc w:val="both"/>
              <w:rPr>
                <w:bCs/>
                <w:color w:val="1A1718"/>
              </w:rPr>
            </w:pPr>
            <w:r w:rsidRPr="00DC71B4">
              <w:rPr>
                <w:bCs/>
                <w:color w:val="1A1718"/>
              </w:rPr>
              <w:t>Provide stability in institutional funding to promote long-term development.</w:t>
            </w:r>
          </w:p>
          <w:p w:rsidR="006357C5" w:rsidRDefault="006357C5" w:rsidP="006357C5">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7" w:hanging="207"/>
              <w:jc w:val="both"/>
              <w:rPr>
                <w:bCs/>
                <w:color w:val="1A1718"/>
              </w:rPr>
            </w:pPr>
            <w:r w:rsidRPr="00DC71B4">
              <w:rPr>
                <w:bCs/>
                <w:color w:val="1A1718"/>
              </w:rPr>
              <w:t>Allow institutions to diversify sources of funding.</w:t>
            </w:r>
          </w:p>
          <w:p w:rsidR="006357C5" w:rsidRDefault="006357C5" w:rsidP="006357C5">
            <w:pPr>
              <w:pStyle w:val="ListParagraph"/>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7" w:hanging="207"/>
              <w:jc w:val="both"/>
              <w:rPr>
                <w:bCs/>
                <w:color w:val="1A1718"/>
              </w:rPr>
            </w:pPr>
            <w:r w:rsidRPr="00DC71B4">
              <w:rPr>
                <w:bCs/>
                <w:color w:val="1A1718"/>
              </w:rPr>
              <w:t>Fund capital infrastructure with a number of different stream</w:t>
            </w:r>
          </w:p>
          <w:p w:rsidR="006357C5" w:rsidRPr="00DC71B4" w:rsidRDefault="006357C5" w:rsidP="002554CF">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7"/>
              <w:jc w:val="both"/>
              <w:rPr>
                <w:bCs/>
                <w:color w:val="1A1718"/>
              </w:rPr>
            </w:pP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xml:space="preserve">Improve cost-effectiveness by steps to reduce inefficiencies throughout tertiary education systems through: </w:t>
            </w:r>
          </w:p>
          <w:p w:rsidR="006357C5" w:rsidRDefault="006357C5" w:rsidP="006357C5">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linking funding more closely to graduation rates.</w:t>
            </w:r>
          </w:p>
          <w:p w:rsidR="006357C5" w:rsidRDefault="006357C5" w:rsidP="006357C5">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xml:space="preserve">- creating incentives to reduce non-completion rates and the length of study time </w:t>
            </w:r>
          </w:p>
          <w:p w:rsidR="006357C5" w:rsidRDefault="006357C5" w:rsidP="006357C5">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reducing public subsidies of students who remain too long in the system</w:t>
            </w:r>
          </w:p>
          <w:p w:rsidR="006357C5" w:rsidRDefault="006357C5" w:rsidP="006357C5">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xml:space="preserve">- eliminating duplicated programs </w:t>
            </w:r>
          </w:p>
          <w:p w:rsidR="006357C5" w:rsidRDefault="006357C5" w:rsidP="006357C5">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xml:space="preserve">- rationalizing low-enrolment programs with possible redeployment of academics across programs </w:t>
            </w:r>
          </w:p>
          <w:p w:rsidR="006357C5" w:rsidRDefault="006357C5" w:rsidP="006357C5">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downsizing faculty to respond to falling student enrolments</w:t>
            </w:r>
          </w:p>
          <w:p w:rsidR="006357C5" w:rsidRDefault="006357C5" w:rsidP="006357C5">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increasing use of shared facilities</w:t>
            </w:r>
          </w:p>
          <w:p w:rsidR="006357C5" w:rsidRDefault="006357C5" w:rsidP="006357C5">
            <w:pPr>
              <w:pStyle w:val="ListParagraph"/>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expanding student mobility between institutions</w:t>
            </w:r>
          </w:p>
          <w:p w:rsidR="006357C5" w:rsidRPr="00DC71B4" w:rsidRDefault="006357C5" w:rsidP="002554CF">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p>
        </w:tc>
      </w:tr>
    </w:tbl>
    <w:p w:rsidR="006357C5" w:rsidRDefault="006357C5" w:rsidP="006357C5">
      <w: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56"/>
      </w:tblGrid>
      <w:tr w:rsidR="006357C5" w:rsidRPr="00DC71B4" w:rsidTr="002554CF">
        <w:trPr>
          <w:jc w:val="center"/>
        </w:trPr>
        <w:tc>
          <w:tcPr>
            <w:tcW w:w="8856" w:type="dxa"/>
            <w:shd w:val="clear" w:color="auto" w:fill="F2F2F2"/>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
                <w:bCs/>
                <w:caps/>
                <w:color w:val="1A1718"/>
              </w:rPr>
            </w:pPr>
            <w:r w:rsidRPr="00DC71B4">
              <w:rPr>
                <w:b/>
                <w:bCs/>
                <w:color w:val="1A1718"/>
              </w:rPr>
              <w:lastRenderedPageBreak/>
              <w:t>Develop a comprehensive student support system</w:t>
            </w: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xml:space="preserve">Back the overall funding approach with a comprehensive student support system to reduce liquidity constraints faced by students. </w:t>
            </w:r>
          </w:p>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A mixed system of loans and grants assists students in covering tuition fees and living costs, alleviates excessive hours spent on part-time work, and/or disproportionate reliance on family support.</w:t>
            </w: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A loans system with income-contingent repayments addresses risk and uncertainty faced by individuals by providing insurance against inability to repay and improves progressiveness by providing a lower public subsidy for graduates that obtain higher private returns.</w:t>
            </w: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xml:space="preserve">In many countries, student support systems need to be expanded, diversified and to place extra emphasis on the financial need of students. </w:t>
            </w: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 xml:space="preserve">Aim for a universal income-contingent loan system complemented with means-tested grants. </w:t>
            </w: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Base grants on an assessment of financial need of the student to promote access of those with greater need and who underestimate the net benefits of tertiary education as a result of a socio-economic disadvantage.</w:t>
            </w: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Ensure that student aid entitlements cover living costs.</w:t>
            </w: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Provide access to the student support system to students in the public and private sectors alike.</w:t>
            </w:r>
          </w:p>
        </w:tc>
      </w:tr>
      <w:tr w:rsidR="006357C5" w:rsidRPr="00DC71B4" w:rsidTr="002554CF">
        <w:trPr>
          <w:jc w:val="center"/>
        </w:trPr>
        <w:tc>
          <w:tcPr>
            <w:tcW w:w="8856"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Cs/>
                <w:color w:val="1A1718"/>
              </w:rPr>
            </w:pPr>
            <w:r w:rsidRPr="00DC71B4">
              <w:rPr>
                <w:bCs/>
                <w:color w:val="1A1718"/>
              </w:rPr>
              <w:t>Consider creating an agency within or outside the Ministry in charge of tertiary education, to be responsible for the administration and delivery of student loans and grants.</w:t>
            </w:r>
          </w:p>
        </w:tc>
      </w:tr>
    </w:tbl>
    <w:p w:rsidR="006357C5" w:rsidRPr="00B04AAE" w:rsidRDefault="006357C5" w:rsidP="006357C5">
      <w:pPr>
        <w:ind w:left="270" w:right="270"/>
        <w:jc w:val="both"/>
        <w:rPr>
          <w:sz w:val="18"/>
          <w:szCs w:val="18"/>
        </w:rPr>
      </w:pPr>
      <w:r w:rsidRPr="00B04AAE">
        <w:rPr>
          <w:bCs/>
          <w:color w:val="1A1718"/>
          <w:sz w:val="18"/>
          <w:szCs w:val="18"/>
        </w:rPr>
        <w:t xml:space="preserve">Reproduced from: OECD. (2008) Funding Tertiary Education: Pointers for policy development. </w:t>
      </w:r>
      <w:hyperlink r:id="rId11" w:history="1">
        <w:r w:rsidRPr="00B04AAE">
          <w:rPr>
            <w:rStyle w:val="Hyperlink"/>
            <w:rFonts w:cs="Arial"/>
            <w:sz w:val="18"/>
            <w:szCs w:val="18"/>
          </w:rPr>
          <w:t>http://www.oecd.org/dataoecd/5/5/44124839.pdf</w:t>
        </w:r>
      </w:hyperlink>
    </w:p>
    <w:p w:rsidR="006357C5" w:rsidRPr="00DF0CD6" w:rsidRDefault="006357C5" w:rsidP="006357C5">
      <w:pPr>
        <w:jc w:val="both"/>
        <w:rPr>
          <w:sz w:val="20"/>
        </w:rPr>
      </w:pPr>
    </w:p>
    <w:p w:rsidR="006357C5" w:rsidRDefault="006357C5" w:rsidP="006357C5">
      <w:pPr>
        <w:pStyle w:val="Heading3"/>
        <w:numPr>
          <w:ilvl w:val="0"/>
          <w:numId w:val="4"/>
        </w:numPr>
        <w:spacing w:before="0"/>
        <w:ind w:left="851"/>
        <w:rPr>
          <w:rFonts w:ascii="Arial" w:hAnsi="Arial" w:cs="Arial"/>
        </w:rPr>
      </w:pPr>
      <w:bookmarkStart w:id="30" w:name="_Toc328387881"/>
      <w:bookmarkStart w:id="31" w:name="_Toc328388099"/>
      <w:bookmarkStart w:id="32" w:name="_Toc345342922"/>
      <w:r w:rsidRPr="00DF0CD6">
        <w:rPr>
          <w:rFonts w:ascii="Arial" w:hAnsi="Arial" w:cs="Arial"/>
        </w:rPr>
        <w:t>Additional information and tables</w:t>
      </w:r>
      <w:bookmarkEnd w:id="30"/>
      <w:bookmarkEnd w:id="31"/>
      <w:bookmarkEnd w:id="32"/>
    </w:p>
    <w:p w:rsidR="006357C5" w:rsidRPr="00DF0CD6" w:rsidRDefault="006357C5" w:rsidP="006357C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76"/>
      </w:tblGrid>
      <w:tr w:rsidR="006357C5" w:rsidRPr="00DC71B4" w:rsidTr="002554CF">
        <w:tc>
          <w:tcPr>
            <w:tcW w:w="9576" w:type="dxa"/>
          </w:tcPr>
          <w:p w:rsidR="006357C5" w:rsidRPr="00DC71B4" w:rsidRDefault="006357C5" w:rsidP="002554CF">
            <w:pPr>
              <w:pStyle w:val="destacado-post"/>
              <w:spacing w:before="2" w:after="2"/>
            </w:pPr>
            <w:bookmarkStart w:id="33" w:name="_Toc328388100"/>
            <w:bookmarkStart w:id="34" w:name="_Toc328573968"/>
            <w:r w:rsidRPr="00DC71B4">
              <w:t>B</w:t>
            </w:r>
            <w:r>
              <w:t>ox</w:t>
            </w:r>
            <w:r w:rsidRPr="00DC71B4">
              <w:t xml:space="preserve"> </w:t>
            </w:r>
            <w:r>
              <w:t>4</w:t>
            </w:r>
            <w:r w:rsidRPr="00DC71B4">
              <w:t>: Overall country approaches to funding tertiary education, OECD taxonomy 2010</w:t>
            </w:r>
            <w:bookmarkEnd w:id="33"/>
            <w:bookmarkEnd w:id="34"/>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rPr>
            </w:pP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r w:rsidRPr="00DC71B4">
              <w:rPr>
                <w:color w:val="000000"/>
                <w:sz w:val="20"/>
                <w:szCs w:val="20"/>
              </w:rPr>
              <w:t>Countries differ in their approach to funding tertiary education. In this taxonomy, countries are grouped along two dimensions. The first is the extent of cost- sharing, that is, the level of contribution required from the student and/or his/her family in tertiary-type A education. The second concerns the public subsidies received by students at this level of education.</w:t>
            </w: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r w:rsidRPr="00DC71B4">
              <w:rPr>
                <w:color w:val="000000"/>
                <w:sz w:val="20"/>
                <w:szCs w:val="20"/>
              </w:rPr>
              <w:t>There is no single model for financing tertiary-type A education in OECD and partner countries. Some countries in which tertiary-type A institutions charge similar tuition fees may have differences in the proportion of students benefiting from public subsidies and/or differences in the average amount of these subsidies.</w:t>
            </w: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r w:rsidRPr="00DC71B4">
              <w:rPr>
                <w:color w:val="000000"/>
                <w:sz w:val="20"/>
                <w:szCs w:val="20"/>
              </w:rPr>
              <w:t>Nevertheless, comparisons of the tuition fees charged by institutions and the public subsidies received by students, as well as other factors such as access to tertiary education, level of public expenditure on tertiary education or the level of taxation of income, help to distinguish four main groups of countries. In addition, tax revenue based on income (OECD, 2006) is highly correlated with the level of public expenditure available for education, and the level of tax revenue can provide some information on the possibility of financing public subsidies to students.</w:t>
            </w: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
                <w:bCs/>
                <w:iCs/>
                <w:color w:val="000000"/>
                <w:sz w:val="20"/>
                <w:szCs w:val="20"/>
              </w:rPr>
            </w:pP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
                <w:bCs/>
                <w:iCs/>
                <w:color w:val="000000"/>
                <w:sz w:val="20"/>
                <w:szCs w:val="20"/>
              </w:rPr>
            </w:pPr>
            <w:r w:rsidRPr="00DC71B4">
              <w:rPr>
                <w:b/>
                <w:bCs/>
                <w:iCs/>
                <w:color w:val="000000"/>
                <w:sz w:val="20"/>
                <w:szCs w:val="20"/>
              </w:rPr>
              <w:t>Model 1: Countries with no or low tuition fees but quite generous student support systems</w:t>
            </w: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r w:rsidRPr="00DC71B4">
              <w:rPr>
                <w:color w:val="000000"/>
                <w:sz w:val="20"/>
                <w:szCs w:val="20"/>
              </w:rPr>
              <w:t xml:space="preserve">This group includes the Nordic countries (Denmark, Finland, Iceland, Norway and Sweden). There are no (or low) financial barriers for tertiary studies due to tuition fees and there is even a high level of student aid. At 69%, the average entry rate to tertiary-type A education for this group is above the OECD </w:t>
            </w:r>
            <w:r w:rsidRPr="00DC71B4">
              <w:rPr>
                <w:color w:val="000000"/>
                <w:sz w:val="20"/>
                <w:szCs w:val="20"/>
              </w:rPr>
              <w:lastRenderedPageBreak/>
              <w:t>average. Tuition fees charged by public educational institutions for national students are negligible for tertiary-type A education and more than 55% of students enrolled in tertiary-type A education in this group can benefit from scholarships/grants and/or public loans to finance their studies or living expenses .</w:t>
            </w: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r w:rsidRPr="00DC71B4">
              <w:rPr>
                <w:color w:val="000000"/>
                <w:sz w:val="20"/>
                <w:szCs w:val="20"/>
              </w:rPr>
              <w:t>In these countries the levels of public expenditure on tertiary education as a percentage of GDP and the level of taxation on income are also among the highest in OECD and partner countries. The approach to funding tertiary education expresses the views held by these countries’ societies. Public funding of tertiary education reflects deeply rooted social values as equality of opportunity and social equity, which are characteristic of the Nordic countries. The notion that government should provide its citizens with tertiary education at no charge to the user is a salient feature of these countries’ educational culture. In its current mode, the funding of both institutions and students in these countries is based on the principle that access to tertiary education is a right, rather than a benefit (OECD, 2008, Chapter 4).</w:t>
            </w: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
                <w:bCs/>
                <w:iCs/>
                <w:color w:val="000000"/>
                <w:sz w:val="20"/>
                <w:szCs w:val="20"/>
              </w:rPr>
            </w:pP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r w:rsidRPr="00DC71B4">
              <w:rPr>
                <w:b/>
                <w:bCs/>
                <w:iCs/>
                <w:color w:val="000000"/>
                <w:sz w:val="20"/>
                <w:szCs w:val="20"/>
              </w:rPr>
              <w:t xml:space="preserve">Model 2: Countries with high levels of tuition fees and well-developed student support systems </w:t>
            </w:r>
            <w:r w:rsidRPr="00DC71B4">
              <w:rPr>
                <w:color w:val="000000"/>
                <w:sz w:val="20"/>
                <w:szCs w:val="20"/>
              </w:rPr>
              <w:t>A second group includes Australia, Canada, the Netherlands, New Zealand, the United Kingdom and the United States. These countries have potentially high financial barriers for entry to tertiary-type A education, but also provide large public subsidies to students. It is noteworthy that the average entry rate to tertiary-type A education for this group of countries is, at 65%, slightly above the OECD average and higher than most countries with low tuition fees (except the Nordic countries).</w:t>
            </w: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r w:rsidRPr="00DC71B4">
              <w:rPr>
                <w:color w:val="000000"/>
                <w:sz w:val="20"/>
                <w:szCs w:val="20"/>
              </w:rPr>
              <w:t>Tuition fees charged by tertiary-type A institutions exceed USD 1 500 in all these countries and more than 68% of tertiary-type A students receive public subsidies (in Australia, the Netherlands, New Zealand and the United States, the four countries for which data are available; Tables B5.1 and B5.2). Student support systems are well developed and mostly accommodate the needs of the entire student population, with a proportion of public subsidies in total public expenditure on tertiary education which is higher than the OECD average (21%) in five out of the six countries: Australia (31%), the Netherlands (27%), New Zealand (40%), the United Kingdom (53%), the United States (21%), and nearly at the average for Canada (17%). Access to tertiary-type A education in countries in this group is not lower than in other groups. For example, Australia (86%) and New Zealand (76%) have among the highest entry rates to tertiary-type A education, owing in part to the high proportion of international students enrolled in tertiary-type A education. The Netherlands (60%) and the United States (65%) were above the OECD average (56%) in 2007. Finally, these countries spend more per tertiary student on core services than the OECD average and have a relatively high level of revenue from income tax as a percentage of GDP compared to the OECD average. The Netherlands is an outlier in terms of the level of taxation of income (OECD, 2006).</w:t>
            </w: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
                <w:bCs/>
                <w:iCs/>
                <w:color w:val="000000"/>
                <w:sz w:val="20"/>
                <w:szCs w:val="20"/>
              </w:rPr>
            </w:pPr>
            <w:r w:rsidRPr="00DC71B4">
              <w:rPr>
                <w:b/>
                <w:bCs/>
                <w:iCs/>
                <w:color w:val="000000"/>
                <w:sz w:val="20"/>
                <w:szCs w:val="20"/>
              </w:rPr>
              <w:t>Model 3: Countries with high level of tuition fees but less developed student support systems</w:t>
            </w: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r w:rsidRPr="00DC71B4">
              <w:rPr>
                <w:color w:val="000000"/>
                <w:sz w:val="20"/>
                <w:szCs w:val="20"/>
              </w:rPr>
              <w:t>In Japan and Korea most students are charged high tuition fees, but student support systems are somewhat less developed than in Models 1 and 2. This places a considerable financial burden on students and their families. In these two countries, tertiary-type A institutions charge high tuition fees (more than USD 4 200) but a relatively small proportion of students benefit from public subsidies (one-quarter of students receive public subsidies in Japan, and 16% of total public expenditure on tertiary education is allocated to public subsidies in Korea). Tertiary-type A entry rates in these two countries are 46% and 61%, respectively; Japan is below the OECD average and Korea is slightly above the average. In Japan, some students who excel academically but have difficulty financing their studies may benefit from reduced tuition and/or admission fees or be entirely exempted. The below-average access to tertiary-type A education is counterbalanced by an above average entry rate to tertiary-type B programs. These two countries are among those with the lowest levels of public expenditure allocated to tertiary education as a percentage of GDP. This partially explains the small proportion of students who benefit from public loans. However, Japan has implemented a reform to improve student support system and public subsidies for students are above the OECD average and represent 25% of total public expenditure on tertiary education; expenditure per tertiary student is also above the OECD average. Korea presents the opposite picture.</w:t>
            </w: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b/>
                <w:bCs/>
                <w:iCs/>
                <w:color w:val="000000"/>
                <w:sz w:val="20"/>
                <w:szCs w:val="20"/>
              </w:rPr>
            </w:pPr>
            <w:r w:rsidRPr="00DC71B4">
              <w:rPr>
                <w:b/>
                <w:bCs/>
                <w:iCs/>
                <w:color w:val="000000"/>
                <w:sz w:val="20"/>
                <w:szCs w:val="20"/>
              </w:rPr>
              <w:t>Model 4: Countries with a low level of tuition fees and less developed student support systems</w:t>
            </w: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r w:rsidRPr="00DC71B4">
              <w:rPr>
                <w:color w:val="000000"/>
                <w:sz w:val="20"/>
                <w:szCs w:val="20"/>
              </w:rPr>
              <w:t xml:space="preserve">The fourth and last group includes all other European countries for which data are available (Austria, </w:t>
            </w:r>
            <w:r w:rsidRPr="00DC71B4">
              <w:rPr>
                <w:color w:val="000000"/>
                <w:sz w:val="20"/>
                <w:szCs w:val="20"/>
              </w:rPr>
              <w:lastRenderedPageBreak/>
              <w:t>Belgium, the Czech Republic, France, Ireland, Italy, Portugal and Spain). These countries have relatively low financial barriers to entry to tertiary education (or no barriers like in the Czech Republic) combined with relatively low subsidies for students, which are mainly targeted to specific groups. There is a high level of dependence on public resources for the funding of tertiary education and participation levels are typically below the OECD average. The average tertiary-type A entry rate in this group of countries is a relatively low 47% (it is counterbalanced by high entry rates in tertiary-type B education in Belgium). Similarly, expenditure per student for tertiary-type A education is also comparatively low. While high tuition fees can raise potential barriers to student participation, this suggests that the absence of tuition fees, which is assumed to ease access to education, does not necessarily ensure high levels of access and quality of tertiary-type A education.</w:t>
            </w: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color w:val="000000"/>
                <w:sz w:val="20"/>
                <w:szCs w:val="20"/>
              </w:rPr>
            </w:pPr>
            <w:r w:rsidRPr="00DC71B4">
              <w:rPr>
                <w:color w:val="000000"/>
                <w:sz w:val="20"/>
                <w:szCs w:val="20"/>
              </w:rPr>
              <w:t>Tuition fees charged by public institutions in this group never exceed USD 1 200, and, in countries for which data are available, the proportion of students who benefit from public subsidies is below 40%. In these countries students and their families can benefit from subsidies provided by sources other than the ministry of Education (</w:t>
            </w:r>
            <w:r w:rsidRPr="00DC71B4">
              <w:rPr>
                <w:iCs/>
                <w:color w:val="000000"/>
                <w:sz w:val="20"/>
                <w:szCs w:val="20"/>
              </w:rPr>
              <w:t xml:space="preserve">e.g. </w:t>
            </w:r>
            <w:r w:rsidRPr="00DC71B4">
              <w:rPr>
                <w:color w:val="000000"/>
                <w:sz w:val="20"/>
                <w:szCs w:val="20"/>
              </w:rPr>
              <w:t xml:space="preserve">housing allowances, tax reductions and/or tax credits for education); these are not covered in this analysis. In France, for example, housing allowances represent about 90% of scholarships/grants and about one- third of students benefit from these. Poland is notable in that some students have their studies fully subsidized by the public budget and the remainder pays the full costs of tuition. In other words, the burden of private contributions is borne by part of the student population rather than shared by all (see Indicator B3 in </w:t>
            </w:r>
            <w:r w:rsidRPr="00DC71B4">
              <w:rPr>
                <w:iCs/>
                <w:color w:val="000000"/>
                <w:sz w:val="20"/>
                <w:szCs w:val="20"/>
              </w:rPr>
              <w:t>Education at a Glance 2008</w:t>
            </w:r>
            <w:r w:rsidRPr="00DC71B4">
              <w:rPr>
                <w:color w:val="000000"/>
                <w:sz w:val="20"/>
                <w:szCs w:val="20"/>
              </w:rPr>
              <w:t>). Loan systems (public loans or loans guaranteed by the state) are not available or only available to a small proportion of students in these countries. At the same time, the level of public spending and the tax revenue from income as a percentage of GDP vary significantly more among this group of countries than in the other groups, but policies on tuition fees and public subsidies are not necessarily the main drivers in students’ decision to enter tertiary-type A education.</w:t>
            </w:r>
          </w:p>
          <w:p w:rsidR="006357C5" w:rsidRPr="00DC71B4" w:rsidRDefault="006357C5" w:rsidP="002554CF">
            <w:pPr>
              <w:widowControl w:val="0"/>
              <w:shd w:val="clear" w:color="auto" w:fill="F2F2F2"/>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color w:val="000000"/>
                <w:sz w:val="20"/>
                <w:szCs w:val="20"/>
              </w:rPr>
            </w:pPr>
          </w:p>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b/>
                <w:color w:val="000000"/>
              </w:rPr>
            </w:pPr>
            <w:r>
              <w:rPr>
                <w:b/>
                <w:noProof/>
                <w:color w:val="000000"/>
              </w:rPr>
              <w:lastRenderedPageBreak/>
              <w:drawing>
                <wp:inline distT="0" distB="0" distL="0" distR="0" wp14:anchorId="088FA74A" wp14:editId="0A11694C">
                  <wp:extent cx="5960745" cy="4528820"/>
                  <wp:effectExtent l="19050" t="0" r="1905" b="0"/>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a:srcRect/>
                          <a:stretch>
                            <a:fillRect/>
                          </a:stretch>
                        </pic:blipFill>
                        <pic:spPr bwMode="auto">
                          <a:xfrm>
                            <a:off x="0" y="0"/>
                            <a:ext cx="5960745" cy="4528820"/>
                          </a:xfrm>
                          <a:prstGeom prst="rect">
                            <a:avLst/>
                          </a:prstGeom>
                          <a:noFill/>
                          <a:ln w="9525">
                            <a:noFill/>
                            <a:miter lim="800000"/>
                            <a:headEnd/>
                            <a:tailEnd/>
                          </a:ln>
                        </pic:spPr>
                      </pic:pic>
                    </a:graphicData>
                  </a:graphic>
                </wp:inline>
              </w:drawing>
            </w:r>
          </w:p>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color w:val="000000"/>
              </w:rPr>
            </w:pPr>
          </w:p>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color w:val="000000"/>
                <w:sz w:val="20"/>
                <w:szCs w:val="20"/>
              </w:rPr>
            </w:pPr>
            <w:r w:rsidRPr="009F5024">
              <w:rPr>
                <w:color w:val="000000"/>
                <w:sz w:val="18"/>
                <w:szCs w:val="18"/>
                <w:u w:val="single"/>
              </w:rPr>
              <w:t xml:space="preserve">Source: </w:t>
            </w:r>
            <w:r w:rsidRPr="00DC71B4">
              <w:rPr>
                <w:color w:val="000000"/>
                <w:sz w:val="18"/>
                <w:szCs w:val="18"/>
              </w:rPr>
              <w:t>OECD (2010). Education at a Glance</w:t>
            </w:r>
            <w:r w:rsidRPr="00DC71B4">
              <w:rPr>
                <w:color w:val="000000"/>
                <w:sz w:val="20"/>
                <w:szCs w:val="20"/>
              </w:rPr>
              <w:t>.</w:t>
            </w:r>
          </w:p>
        </w:tc>
      </w:tr>
    </w:tbl>
    <w:p w:rsidR="006357C5" w:rsidRPr="00B04AAE" w:rsidRDefault="006357C5" w:rsidP="006357C5">
      <w:pPr>
        <w:spacing w:line="240" w:lineRule="auto"/>
        <w:jc w:val="both"/>
        <w:rPr>
          <w:iCs/>
          <w:sz w:val="18"/>
          <w:szCs w:val="18"/>
        </w:rPr>
      </w:pPr>
      <w:r w:rsidRPr="00B04AAE">
        <w:rPr>
          <w:iCs/>
          <w:sz w:val="18"/>
          <w:szCs w:val="18"/>
        </w:rPr>
        <w:lastRenderedPageBreak/>
        <w:t xml:space="preserve">The following tables are reproduced from: Santiago, Tremblay, Basru and Arnal (2008) </w:t>
      </w:r>
      <w:r w:rsidRPr="00B04AAE">
        <w:rPr>
          <w:iCs/>
          <w:sz w:val="18"/>
          <w:szCs w:val="18"/>
          <w:u w:val="single"/>
        </w:rPr>
        <w:t>Tertiary Education for the Knowledge Society</w:t>
      </w:r>
      <w:r w:rsidRPr="00B04AAE">
        <w:rPr>
          <w:iCs/>
          <w:sz w:val="18"/>
          <w:szCs w:val="18"/>
        </w:rPr>
        <w:t>, Volume 1. OECD.</w:t>
      </w:r>
    </w:p>
    <w:p w:rsidR="006357C5" w:rsidRPr="00DF0CD6" w:rsidRDefault="006357C5" w:rsidP="006357C5">
      <w:pPr>
        <w:spacing w:line="360" w:lineRule="auto"/>
        <w:jc w:val="both"/>
        <w:rPr>
          <w:iCs/>
        </w:rPr>
      </w:pPr>
    </w:p>
    <w:p w:rsidR="006357C5" w:rsidRDefault="006357C5" w:rsidP="006357C5">
      <w:pPr>
        <w:pStyle w:val="Heading2"/>
        <w:numPr>
          <w:ilvl w:val="0"/>
          <w:numId w:val="3"/>
        </w:numPr>
        <w:spacing w:before="0"/>
        <w:ind w:left="426" w:hanging="426"/>
        <w:jc w:val="both"/>
      </w:pPr>
      <w:bookmarkStart w:id="35" w:name="_Toc327186206"/>
      <w:bookmarkStart w:id="36" w:name="_Toc328588959"/>
      <w:bookmarkStart w:id="37" w:name="_Toc328573830"/>
      <w:bookmarkStart w:id="38" w:name="_Toc345342923"/>
      <w:r>
        <w:t>Case Studies</w:t>
      </w:r>
      <w:bookmarkEnd w:id="35"/>
      <w:bookmarkEnd w:id="36"/>
      <w:bookmarkEnd w:id="37"/>
      <w:bookmarkEnd w:id="38"/>
    </w:p>
    <w:p w:rsidR="006357C5" w:rsidRPr="00DF0CD6" w:rsidRDefault="006357C5" w:rsidP="006357C5">
      <w:pPr>
        <w:jc w:val="both"/>
      </w:pPr>
    </w:p>
    <w:p w:rsidR="006357C5" w:rsidRPr="00DF0CD6" w:rsidRDefault="006357C5" w:rsidP="006357C5">
      <w:pPr>
        <w:jc w:val="both"/>
      </w:pPr>
      <w:r w:rsidRPr="00DF0CD6">
        <w:t>Student aid systems in tertiary education are complex politico-economic devices, since they play an important role in relation to a number of social goods. Importantly, student aid systems (SAS) have a prominent effect on redistribution, given the social mobility implications of tertiary education and the equity issues surrounding its financing. SAS have an important effect on the</w:t>
      </w:r>
      <w:r w:rsidRPr="00DF0CD6">
        <w:rPr>
          <w:b/>
        </w:rPr>
        <w:t xml:space="preserve"> </w:t>
      </w:r>
      <w:r w:rsidRPr="00DF0CD6">
        <w:t xml:space="preserve">financing on tertiary education at the macro level (how much is invested in the higher education system overall?), at the meso level (which institutions and/or programs receive more funds?), and at the micro level (how much is the student expected to depend on her family?; how is risk aversion for educational investments dealt with?). The articulation of these three levels of tertiary education finance (macro, meso, micro) is a key feature of any SAS and determines its overall outcomes. Finally, the incentives behind SAS can have an effect on the labor market, not only by affecting the overall supply of high-skilled workers but also by (dis)incentivizing investments in specific professional skills. </w:t>
      </w:r>
    </w:p>
    <w:p w:rsidR="006357C5" w:rsidRPr="00DF0CD6" w:rsidRDefault="006357C5" w:rsidP="006357C5">
      <w:pPr>
        <w:jc w:val="both"/>
      </w:pPr>
    </w:p>
    <w:p w:rsidR="006357C5" w:rsidRPr="00DF0CD6" w:rsidRDefault="006357C5" w:rsidP="006357C5">
      <w:pPr>
        <w:jc w:val="both"/>
      </w:pPr>
      <w:r w:rsidRPr="00DF0CD6">
        <w:lastRenderedPageBreak/>
        <w:t xml:space="preserve">This multidimensionality of SAS needs to be taken into account in their analysis. In this sense, international comparative analyses are useful for fleshing out the strengths and weaknesses of specific systems. Of special interest to the Chilean case are instances of SAS reform that have recently taken place in other countries. Therefore, the objective of this paper is to present comparative evidence from a set of varied, relevant cases that can illustrate the benefits, drawbacks, and tensions of different arrangements in SAS. </w:t>
      </w:r>
    </w:p>
    <w:p w:rsidR="006357C5" w:rsidRDefault="006357C5" w:rsidP="006357C5">
      <w:pPr>
        <w:jc w:val="both"/>
      </w:pPr>
    </w:p>
    <w:p w:rsidR="006357C5" w:rsidRDefault="006357C5" w:rsidP="006357C5">
      <w:pPr>
        <w:jc w:val="both"/>
      </w:pPr>
      <w:r w:rsidRPr="00DF0CD6">
        <w:t xml:space="preserve">The cases included in this study have been chosen using a series of selection criteria that aim at maximizing analytical leverage for the specificities of the Chilean case. First of all, tertiary education systems were selected if they had a large degree of what has been called ‘privatism’ (Brunner 2008, 455), namely a salient private sector of tertiary education, combined with the relative importance of private spending. Looking at countries where the SAS operates in an environment of large privatism will ensure that the comparison is reliable and relevant, both in analytical and in policy terms. Secondly, the cases selected are countries where SAS have a large scope, both in terms of (a) the relative size of student aid expenses relative to overall tertiary education expenses and (b) relative size of the student body that benefits from SAS. It is expected that political and economic conditions for establishing a large-scope SAS are very different from those corresponding to a relatively small SAS, and it is therefore important to focus here on countries that, as Chile, have a large SAS. Furthermore, the cases included in this study are cases that have undergone reform in the last 15 years. This stems from our interest in SAS that are ‘adaptive’ and that allow us to have a closer look at the challenges of policy reform, some of which may be similar to those in Chile. Finally, and taking all previous criteria into consideration, cases have been selected so that different politico-economic environments are included in the sample. One may expect, following the ‘varieties of capitalism’ literature (Hall and Soskice 2001), that the role played by education will be different depending on surrounding politico-economic conditions (like inequality) or institutions (like the type of labor market). In order to control from this variable, cases were selected from a variety of politico-economic regimes. </w:t>
      </w:r>
    </w:p>
    <w:p w:rsidR="006357C5" w:rsidRDefault="006357C5" w:rsidP="006357C5">
      <w:pPr>
        <w:jc w:val="both"/>
      </w:pPr>
    </w:p>
    <w:p w:rsidR="006357C5" w:rsidRDefault="006357C5" w:rsidP="006357C5">
      <w:pPr>
        <w:jc w:val="both"/>
      </w:pPr>
      <w:r w:rsidRPr="00DF0CD6">
        <w:t xml:space="preserve">On the basis of these criteria, the following cases have been selected for comparative analyses: Australia, New Zealand, the United Kingdom, Hungary, South Africa, the United States, South Korea, and Norway. The first five countries are included in this document. Most of these countries share characteristics that are relevant to the Chilean case (high privatism, large scope of the SAS), have subjected their SAS to reform in the last 15 years, and come from different politico-economic environments. Moreover, the Korean case is especially relevant to Chile in that the country has been experiencing a wave of student protests regarding the SAS and tuition fees. Finally, Norway is relevant in that, although the tertiary education system has an extremely low degree of privatism, the country has a very large student aid system for living costs, which operates in the context of a coordinated market economy. </w:t>
      </w:r>
    </w:p>
    <w:p w:rsidR="006357C5" w:rsidRDefault="006357C5" w:rsidP="006357C5">
      <w:pPr>
        <w:jc w:val="both"/>
      </w:pPr>
    </w:p>
    <w:p w:rsidR="006357C5" w:rsidRDefault="006357C5" w:rsidP="006357C5">
      <w:pPr>
        <w:jc w:val="both"/>
      </w:pPr>
      <w:r w:rsidRPr="00DF0CD6">
        <w:t xml:space="preserve">The following sections present each of these cases with a common structure: A) Overview of tertiary education financing; B) Allocation of the costs of tertiary education between private and public actors; C) Analysis of the SAS and how it helps public actors cover costs of tertiary </w:t>
      </w:r>
      <w:r w:rsidRPr="00DF0CD6">
        <w:lastRenderedPageBreak/>
        <w:t xml:space="preserve">education; and D) Tensions in the system: recent reforms and prospects for reform in the mid-term. </w:t>
      </w:r>
    </w:p>
    <w:p w:rsidR="006357C5" w:rsidRDefault="006357C5" w:rsidP="006357C5">
      <w:pPr>
        <w:jc w:val="both"/>
      </w:pPr>
    </w:p>
    <w:p w:rsidR="006357C5" w:rsidRDefault="006357C5" w:rsidP="006357C5">
      <w:pPr>
        <w:pStyle w:val="TableHeading"/>
      </w:pPr>
      <w:bookmarkStart w:id="39" w:name="_Toc315363048"/>
      <w:bookmarkStart w:id="40" w:name="_Toc328382210"/>
      <w:bookmarkStart w:id="41" w:name="_Toc328742894"/>
      <w:r>
        <w:t xml:space="preserve">Table 48: </w:t>
      </w:r>
      <w:r w:rsidRPr="00DF0CD6">
        <w:t>Student loan programs in selected OECD countries</w:t>
      </w:r>
      <w:bookmarkEnd w:id="39"/>
      <w:bookmarkEnd w:id="40"/>
      <w:bookmarkEnd w:id="41"/>
    </w:p>
    <w:p w:rsidR="006357C5" w:rsidRPr="00DF0CD6" w:rsidRDefault="006357C5" w:rsidP="006357C5"/>
    <w:tbl>
      <w:tblPr>
        <w:tblW w:w="4981" w:type="pct"/>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0"/>
        <w:gridCol w:w="1891"/>
        <w:gridCol w:w="2118"/>
        <w:gridCol w:w="1662"/>
        <w:gridCol w:w="1891"/>
        <w:gridCol w:w="1618"/>
      </w:tblGrid>
      <w:tr w:rsidR="006357C5" w:rsidRPr="00DC71B4" w:rsidTr="002554CF">
        <w:tc>
          <w:tcPr>
            <w:tcW w:w="189" w:type="pct"/>
            <w:shd w:val="clear" w:color="auto" w:fill="BFBFBF"/>
            <w:vAlign w:val="center"/>
          </w:tcPr>
          <w:p w:rsidR="006357C5" w:rsidRPr="00DC71B4" w:rsidRDefault="006357C5" w:rsidP="002554CF">
            <w:pPr>
              <w:spacing w:line="240" w:lineRule="auto"/>
              <w:jc w:val="center"/>
              <w:rPr>
                <w:b/>
              </w:rPr>
            </w:pPr>
          </w:p>
        </w:tc>
        <w:tc>
          <w:tcPr>
            <w:tcW w:w="991" w:type="pct"/>
            <w:shd w:val="clear" w:color="auto" w:fill="BFBFBF"/>
            <w:vAlign w:val="center"/>
          </w:tcPr>
          <w:p w:rsidR="006357C5" w:rsidRPr="00DC71B4" w:rsidRDefault="006357C5" w:rsidP="002554CF">
            <w:pPr>
              <w:spacing w:line="240" w:lineRule="auto"/>
              <w:rPr>
                <w:b/>
              </w:rPr>
            </w:pPr>
            <w:r w:rsidRPr="00DC71B4">
              <w:rPr>
                <w:b/>
              </w:rPr>
              <w:t xml:space="preserve">Eligibility </w:t>
            </w:r>
            <w:r w:rsidRPr="00DC71B4">
              <w:rPr>
                <w:b/>
              </w:rPr>
              <w:br/>
              <w:t>criteria</w:t>
            </w:r>
          </w:p>
        </w:tc>
        <w:tc>
          <w:tcPr>
            <w:tcW w:w="1110" w:type="pct"/>
            <w:shd w:val="clear" w:color="auto" w:fill="BFBFBF"/>
            <w:vAlign w:val="center"/>
          </w:tcPr>
          <w:p w:rsidR="006357C5" w:rsidRPr="00DC71B4" w:rsidRDefault="006357C5" w:rsidP="002554CF">
            <w:pPr>
              <w:spacing w:line="240" w:lineRule="auto"/>
              <w:rPr>
                <w:b/>
              </w:rPr>
            </w:pPr>
            <w:r w:rsidRPr="00DC71B4">
              <w:rPr>
                <w:b/>
              </w:rPr>
              <w:t xml:space="preserve">Repayment </w:t>
            </w:r>
            <w:r w:rsidRPr="00DC71B4">
              <w:rPr>
                <w:b/>
              </w:rPr>
              <w:br/>
              <w:t>criteria</w:t>
            </w:r>
          </w:p>
        </w:tc>
        <w:tc>
          <w:tcPr>
            <w:tcW w:w="871" w:type="pct"/>
            <w:shd w:val="clear" w:color="auto" w:fill="BFBFBF"/>
            <w:vAlign w:val="center"/>
          </w:tcPr>
          <w:p w:rsidR="006357C5" w:rsidRPr="00DC71B4" w:rsidRDefault="006357C5" w:rsidP="002554CF">
            <w:pPr>
              <w:spacing w:line="240" w:lineRule="auto"/>
              <w:rPr>
                <w:b/>
              </w:rPr>
            </w:pPr>
            <w:r w:rsidRPr="00DC71B4">
              <w:rPr>
                <w:b/>
              </w:rPr>
              <w:t xml:space="preserve">Interest </w:t>
            </w:r>
            <w:r w:rsidRPr="00DC71B4">
              <w:rPr>
                <w:b/>
              </w:rPr>
              <w:br/>
              <w:t>rate</w:t>
            </w:r>
          </w:p>
        </w:tc>
        <w:tc>
          <w:tcPr>
            <w:tcW w:w="991" w:type="pct"/>
            <w:shd w:val="clear" w:color="auto" w:fill="BFBFBF"/>
            <w:vAlign w:val="center"/>
          </w:tcPr>
          <w:p w:rsidR="006357C5" w:rsidRPr="00DC71B4" w:rsidRDefault="006357C5" w:rsidP="002554CF">
            <w:pPr>
              <w:spacing w:line="240" w:lineRule="auto"/>
              <w:rPr>
                <w:b/>
              </w:rPr>
            </w:pPr>
            <w:r w:rsidRPr="00DC71B4">
              <w:rPr>
                <w:b/>
              </w:rPr>
              <w:t xml:space="preserve">Total </w:t>
            </w:r>
            <w:r w:rsidRPr="00DC71B4">
              <w:rPr>
                <w:b/>
              </w:rPr>
              <w:br/>
              <w:t>amount</w:t>
            </w:r>
          </w:p>
        </w:tc>
        <w:tc>
          <w:tcPr>
            <w:tcW w:w="849" w:type="pct"/>
            <w:shd w:val="clear" w:color="auto" w:fill="BFBFBF"/>
            <w:vAlign w:val="center"/>
          </w:tcPr>
          <w:p w:rsidR="006357C5" w:rsidRPr="00DC71B4" w:rsidRDefault="006357C5" w:rsidP="002554CF">
            <w:pPr>
              <w:spacing w:line="240" w:lineRule="auto"/>
              <w:rPr>
                <w:b/>
              </w:rPr>
            </w:pPr>
            <w:r w:rsidRPr="00DC71B4">
              <w:rPr>
                <w:b/>
              </w:rPr>
              <w:t xml:space="preserve">Mechanisms for </w:t>
            </w:r>
            <w:r w:rsidRPr="00DC71B4">
              <w:rPr>
                <w:b/>
              </w:rPr>
              <w:br/>
              <w:t>income verification</w:t>
            </w:r>
          </w:p>
        </w:tc>
      </w:tr>
      <w:tr w:rsidR="006357C5" w:rsidRPr="00DC71B4" w:rsidTr="002554CF">
        <w:trPr>
          <w:cantSplit/>
          <w:trHeight w:val="1134"/>
        </w:trPr>
        <w:tc>
          <w:tcPr>
            <w:tcW w:w="189" w:type="pct"/>
            <w:shd w:val="clear" w:color="auto" w:fill="F2F2F2"/>
            <w:textDirection w:val="btLr"/>
            <w:vAlign w:val="center"/>
          </w:tcPr>
          <w:p w:rsidR="006357C5" w:rsidRPr="00DC71B4" w:rsidRDefault="006357C5" w:rsidP="002554CF">
            <w:pPr>
              <w:spacing w:line="240" w:lineRule="auto"/>
              <w:ind w:left="113" w:right="113"/>
              <w:rPr>
                <w:b/>
                <w:sz w:val="20"/>
                <w:szCs w:val="20"/>
              </w:rPr>
            </w:pPr>
            <w:r w:rsidRPr="00DC71B4">
              <w:rPr>
                <w:b/>
                <w:sz w:val="20"/>
                <w:szCs w:val="20"/>
              </w:rPr>
              <w:t>Australia (CGS)</w:t>
            </w:r>
          </w:p>
        </w:tc>
        <w:tc>
          <w:tcPr>
            <w:tcW w:w="991" w:type="pct"/>
            <w:vAlign w:val="center"/>
          </w:tcPr>
          <w:p w:rsidR="006357C5" w:rsidRPr="00DC71B4" w:rsidRDefault="006357C5" w:rsidP="002554CF">
            <w:pPr>
              <w:spacing w:line="240" w:lineRule="auto"/>
              <w:rPr>
                <w:sz w:val="20"/>
                <w:szCs w:val="20"/>
              </w:rPr>
            </w:pPr>
            <w:r w:rsidRPr="00DC71B4">
              <w:rPr>
                <w:sz w:val="20"/>
                <w:szCs w:val="20"/>
              </w:rPr>
              <w:t>Australian citizens and permanent humanitarian visa holders</w:t>
            </w:r>
          </w:p>
        </w:tc>
        <w:tc>
          <w:tcPr>
            <w:tcW w:w="1110" w:type="pct"/>
            <w:vAlign w:val="center"/>
          </w:tcPr>
          <w:p w:rsidR="006357C5" w:rsidRPr="00DC71B4" w:rsidRDefault="006357C5" w:rsidP="002554CF">
            <w:pPr>
              <w:spacing w:line="240" w:lineRule="auto"/>
              <w:rPr>
                <w:sz w:val="20"/>
                <w:szCs w:val="20"/>
              </w:rPr>
            </w:pPr>
            <w:r w:rsidRPr="00DC71B4">
              <w:rPr>
                <w:sz w:val="20"/>
                <w:szCs w:val="20"/>
              </w:rPr>
              <w:t>Income contingent.</w:t>
            </w:r>
          </w:p>
          <w:p w:rsidR="006357C5" w:rsidRPr="00DC71B4" w:rsidRDefault="006357C5" w:rsidP="002554CF">
            <w:pPr>
              <w:spacing w:line="240" w:lineRule="auto"/>
              <w:rPr>
                <w:sz w:val="20"/>
                <w:szCs w:val="20"/>
              </w:rPr>
            </w:pPr>
            <w:r w:rsidRPr="00DC71B4">
              <w:rPr>
                <w:sz w:val="20"/>
                <w:szCs w:val="20"/>
              </w:rPr>
              <w:t>An income scale is established with different payment rates for each scale above the A$47,196 threshold, going from 4% (A$47,196 – A$52,572) to 8% (≥A$87,550).</w:t>
            </w:r>
          </w:p>
        </w:tc>
        <w:tc>
          <w:tcPr>
            <w:tcW w:w="871" w:type="pct"/>
            <w:vAlign w:val="center"/>
          </w:tcPr>
          <w:p w:rsidR="006357C5" w:rsidRPr="00DC71B4" w:rsidRDefault="006357C5" w:rsidP="002554CF">
            <w:pPr>
              <w:spacing w:line="240" w:lineRule="auto"/>
              <w:rPr>
                <w:sz w:val="20"/>
                <w:szCs w:val="20"/>
              </w:rPr>
            </w:pPr>
            <w:r w:rsidRPr="00DC71B4">
              <w:rPr>
                <w:sz w:val="20"/>
                <w:szCs w:val="20"/>
              </w:rPr>
              <w:t>Zero real interest rate.</w:t>
            </w:r>
          </w:p>
        </w:tc>
        <w:tc>
          <w:tcPr>
            <w:tcW w:w="991" w:type="pct"/>
            <w:vAlign w:val="center"/>
          </w:tcPr>
          <w:p w:rsidR="006357C5" w:rsidRPr="00DC71B4" w:rsidRDefault="006357C5" w:rsidP="002554CF">
            <w:pPr>
              <w:spacing w:line="240" w:lineRule="auto"/>
              <w:rPr>
                <w:sz w:val="20"/>
                <w:szCs w:val="20"/>
              </w:rPr>
            </w:pPr>
            <w:r w:rsidRPr="00DC71B4">
              <w:rPr>
                <w:sz w:val="20"/>
                <w:szCs w:val="20"/>
              </w:rPr>
              <w:t xml:space="preserve">So-called Commonwealth contribution (which in 2012 varies from A$1,861 to A$20,284 per EFTSL). From 2012, the seven-year limit to the benefit from CGS is removed. </w:t>
            </w:r>
          </w:p>
          <w:p w:rsidR="006357C5" w:rsidRPr="00DC71B4" w:rsidRDefault="006357C5" w:rsidP="002554CF">
            <w:pPr>
              <w:spacing w:line="240" w:lineRule="auto"/>
              <w:rPr>
                <w:sz w:val="20"/>
                <w:szCs w:val="20"/>
              </w:rPr>
            </w:pPr>
          </w:p>
        </w:tc>
        <w:tc>
          <w:tcPr>
            <w:tcW w:w="849" w:type="pct"/>
            <w:vAlign w:val="center"/>
          </w:tcPr>
          <w:p w:rsidR="006357C5" w:rsidRPr="00DC71B4" w:rsidRDefault="006357C5" w:rsidP="002554CF">
            <w:pPr>
              <w:spacing w:line="240" w:lineRule="auto"/>
              <w:rPr>
                <w:sz w:val="20"/>
                <w:szCs w:val="20"/>
              </w:rPr>
            </w:pPr>
            <w:r w:rsidRPr="00DC71B4">
              <w:rPr>
                <w:sz w:val="20"/>
                <w:szCs w:val="20"/>
              </w:rPr>
              <w:t xml:space="preserve">Loans are repaid through the tax system (the borrower provides his Tax file number with the Australian Taxation Office). </w:t>
            </w:r>
          </w:p>
        </w:tc>
      </w:tr>
      <w:tr w:rsidR="006357C5" w:rsidRPr="00DC71B4" w:rsidTr="002554CF">
        <w:trPr>
          <w:cantSplit/>
          <w:trHeight w:val="1134"/>
        </w:trPr>
        <w:tc>
          <w:tcPr>
            <w:tcW w:w="189" w:type="pct"/>
            <w:shd w:val="clear" w:color="auto" w:fill="F2F2F2"/>
            <w:textDirection w:val="btLr"/>
            <w:vAlign w:val="center"/>
          </w:tcPr>
          <w:p w:rsidR="006357C5" w:rsidRPr="00DC71B4" w:rsidRDefault="006357C5" w:rsidP="002554CF">
            <w:pPr>
              <w:spacing w:line="240" w:lineRule="auto"/>
              <w:ind w:left="113" w:right="113"/>
              <w:rPr>
                <w:b/>
              </w:rPr>
            </w:pPr>
            <w:r w:rsidRPr="00DC71B4">
              <w:rPr>
                <w:b/>
              </w:rPr>
              <w:t>New Zealand</w:t>
            </w:r>
          </w:p>
        </w:tc>
        <w:tc>
          <w:tcPr>
            <w:tcW w:w="991" w:type="pct"/>
            <w:vAlign w:val="center"/>
          </w:tcPr>
          <w:p w:rsidR="006357C5" w:rsidRPr="00DC71B4" w:rsidRDefault="006357C5" w:rsidP="002554CF">
            <w:pPr>
              <w:spacing w:line="240" w:lineRule="auto"/>
              <w:rPr>
                <w:sz w:val="20"/>
                <w:szCs w:val="20"/>
              </w:rPr>
            </w:pPr>
            <w:r w:rsidRPr="00DC71B4">
              <w:rPr>
                <w:sz w:val="20"/>
                <w:szCs w:val="20"/>
              </w:rPr>
              <w:t xml:space="preserve">NZ citizens or permanent residents who are enrolled on a Tertiary Education Commission approved course. Certain criteria of minimum academic performance apply. </w:t>
            </w:r>
          </w:p>
        </w:tc>
        <w:tc>
          <w:tcPr>
            <w:tcW w:w="1110" w:type="pct"/>
            <w:vAlign w:val="center"/>
          </w:tcPr>
          <w:p w:rsidR="006357C5" w:rsidRPr="00DC71B4" w:rsidRDefault="006357C5" w:rsidP="002554CF">
            <w:pPr>
              <w:spacing w:line="240" w:lineRule="auto"/>
              <w:rPr>
                <w:sz w:val="20"/>
                <w:szCs w:val="20"/>
              </w:rPr>
            </w:pPr>
            <w:r w:rsidRPr="00DC71B4">
              <w:rPr>
                <w:sz w:val="20"/>
                <w:szCs w:val="20"/>
              </w:rPr>
              <w:t xml:space="preserve">Income contingent. </w:t>
            </w:r>
          </w:p>
          <w:p w:rsidR="006357C5" w:rsidRPr="00DC71B4" w:rsidRDefault="006357C5" w:rsidP="002554CF">
            <w:pPr>
              <w:spacing w:line="240" w:lineRule="auto"/>
              <w:rPr>
                <w:sz w:val="20"/>
                <w:szCs w:val="20"/>
              </w:rPr>
            </w:pPr>
            <w:r w:rsidRPr="00DC71B4">
              <w:rPr>
                <w:sz w:val="20"/>
                <w:szCs w:val="20"/>
              </w:rPr>
              <w:t xml:space="preserve">10% of taxable income earned above the threshold (NZ$ $19,084 until 2015), even if the borrower is still studying. More onerous arrangements exist for borrowers who live overseas. </w:t>
            </w:r>
          </w:p>
          <w:p w:rsidR="006357C5" w:rsidRPr="00DC71B4" w:rsidRDefault="006357C5" w:rsidP="002554CF">
            <w:pPr>
              <w:spacing w:line="240" w:lineRule="auto"/>
              <w:rPr>
                <w:sz w:val="20"/>
                <w:szCs w:val="20"/>
              </w:rPr>
            </w:pPr>
            <w:r w:rsidRPr="00DC71B4">
              <w:rPr>
                <w:sz w:val="20"/>
                <w:szCs w:val="20"/>
              </w:rPr>
              <w:t>Additional payments are allowed at any given time – with a ‘voluntary repayment bonus’ if they total ≥NZ$500.</w:t>
            </w:r>
          </w:p>
        </w:tc>
        <w:tc>
          <w:tcPr>
            <w:tcW w:w="871" w:type="pct"/>
            <w:vAlign w:val="center"/>
          </w:tcPr>
          <w:p w:rsidR="006357C5" w:rsidRPr="00DC71B4" w:rsidRDefault="006357C5" w:rsidP="002554CF">
            <w:pPr>
              <w:spacing w:line="240" w:lineRule="auto"/>
              <w:rPr>
                <w:sz w:val="20"/>
                <w:szCs w:val="20"/>
              </w:rPr>
            </w:pPr>
            <w:r w:rsidRPr="00DC71B4">
              <w:rPr>
                <w:sz w:val="20"/>
                <w:szCs w:val="20"/>
              </w:rPr>
              <w:t>The interest rate is set annually. For the year 2011 – 2012 an interest rate of 6.6% applies. Interest is charged daily from the first day using the loan to the day when the loan has been fully repaid. Borrowers who spend at least half of the year in NZ have their interest rate abolished.</w:t>
            </w:r>
          </w:p>
          <w:p w:rsidR="006357C5" w:rsidRPr="00DC71B4" w:rsidRDefault="006357C5" w:rsidP="002554CF">
            <w:pPr>
              <w:spacing w:line="240" w:lineRule="auto"/>
              <w:rPr>
                <w:sz w:val="20"/>
                <w:szCs w:val="20"/>
              </w:rPr>
            </w:pPr>
            <w:r w:rsidRPr="00DC71B4">
              <w:rPr>
                <w:sz w:val="20"/>
                <w:szCs w:val="20"/>
              </w:rPr>
              <w:t xml:space="preserve">An annual administration fee of NZ$40 applies. </w:t>
            </w:r>
          </w:p>
          <w:p w:rsidR="006357C5" w:rsidRPr="00DC71B4" w:rsidRDefault="006357C5" w:rsidP="002554CF">
            <w:pPr>
              <w:spacing w:line="240" w:lineRule="auto"/>
              <w:rPr>
                <w:sz w:val="20"/>
                <w:szCs w:val="20"/>
              </w:rPr>
            </w:pPr>
          </w:p>
        </w:tc>
        <w:tc>
          <w:tcPr>
            <w:tcW w:w="991" w:type="pct"/>
            <w:vAlign w:val="center"/>
          </w:tcPr>
          <w:p w:rsidR="006357C5" w:rsidRPr="00DC71B4" w:rsidRDefault="006357C5" w:rsidP="002554CF">
            <w:pPr>
              <w:spacing w:line="240" w:lineRule="auto"/>
              <w:rPr>
                <w:sz w:val="20"/>
                <w:szCs w:val="20"/>
              </w:rPr>
            </w:pPr>
            <w:r w:rsidRPr="00DC71B4">
              <w:rPr>
                <w:sz w:val="20"/>
                <w:szCs w:val="20"/>
              </w:rPr>
              <w:t>Up to full tuition cost, plus up to NZ$1,000 per year for course-related costs, and up to NZ$169.51 per week for living costs (the living cost allowance is updated yearly following inflation).</w:t>
            </w:r>
          </w:p>
          <w:p w:rsidR="006357C5" w:rsidRPr="00DC71B4" w:rsidRDefault="006357C5" w:rsidP="002554CF">
            <w:pPr>
              <w:spacing w:line="240" w:lineRule="auto"/>
              <w:rPr>
                <w:sz w:val="20"/>
                <w:szCs w:val="20"/>
              </w:rPr>
            </w:pPr>
            <w:r w:rsidRPr="00DC71B4">
              <w:rPr>
                <w:sz w:val="20"/>
                <w:szCs w:val="20"/>
              </w:rPr>
              <w:t>Each new loan account has an establishment fee of NZ$60.</w:t>
            </w:r>
          </w:p>
        </w:tc>
        <w:tc>
          <w:tcPr>
            <w:tcW w:w="849" w:type="pct"/>
            <w:vAlign w:val="center"/>
          </w:tcPr>
          <w:p w:rsidR="006357C5" w:rsidRPr="00DC71B4" w:rsidRDefault="006357C5" w:rsidP="002554CF">
            <w:pPr>
              <w:spacing w:line="240" w:lineRule="auto"/>
              <w:rPr>
                <w:sz w:val="20"/>
                <w:szCs w:val="20"/>
              </w:rPr>
            </w:pPr>
            <w:r w:rsidRPr="00DC71B4">
              <w:rPr>
                <w:sz w:val="20"/>
                <w:szCs w:val="20"/>
              </w:rPr>
              <w:t xml:space="preserve">The employer deducts repayments from the borrower’s payroll. </w:t>
            </w:r>
          </w:p>
        </w:tc>
      </w:tr>
      <w:tr w:rsidR="006357C5" w:rsidRPr="00DC71B4" w:rsidTr="002554CF">
        <w:trPr>
          <w:cantSplit/>
          <w:trHeight w:val="1134"/>
        </w:trPr>
        <w:tc>
          <w:tcPr>
            <w:tcW w:w="189" w:type="pct"/>
            <w:shd w:val="clear" w:color="auto" w:fill="F2F2F2"/>
            <w:textDirection w:val="btLr"/>
            <w:vAlign w:val="center"/>
          </w:tcPr>
          <w:p w:rsidR="006357C5" w:rsidRPr="00DC71B4" w:rsidRDefault="006357C5" w:rsidP="002554CF">
            <w:pPr>
              <w:spacing w:line="240" w:lineRule="auto"/>
              <w:ind w:left="113" w:right="113"/>
              <w:rPr>
                <w:b/>
              </w:rPr>
            </w:pPr>
            <w:r w:rsidRPr="00DC71B4">
              <w:rPr>
                <w:b/>
              </w:rPr>
              <w:lastRenderedPageBreak/>
              <w:t>United Kingdom</w:t>
            </w:r>
          </w:p>
        </w:tc>
        <w:tc>
          <w:tcPr>
            <w:tcW w:w="991" w:type="pct"/>
            <w:vAlign w:val="center"/>
          </w:tcPr>
          <w:p w:rsidR="006357C5" w:rsidRPr="00DC71B4" w:rsidRDefault="006357C5" w:rsidP="002554CF">
            <w:pPr>
              <w:spacing w:line="240" w:lineRule="auto"/>
              <w:rPr>
                <w:sz w:val="20"/>
                <w:szCs w:val="20"/>
              </w:rPr>
            </w:pPr>
            <w:r w:rsidRPr="00DC71B4">
              <w:rPr>
                <w:sz w:val="20"/>
                <w:szCs w:val="20"/>
              </w:rPr>
              <w:t>All UK nationals and EU and Turkish citizens, under certain conditions, who reside in the UK.</w:t>
            </w:r>
          </w:p>
          <w:p w:rsidR="006357C5" w:rsidRPr="00DC71B4" w:rsidRDefault="006357C5" w:rsidP="002554CF">
            <w:pPr>
              <w:spacing w:line="240" w:lineRule="auto"/>
              <w:rPr>
                <w:sz w:val="20"/>
                <w:szCs w:val="20"/>
              </w:rPr>
            </w:pPr>
            <w:r w:rsidRPr="00DC71B4">
              <w:rPr>
                <w:sz w:val="20"/>
                <w:szCs w:val="20"/>
              </w:rPr>
              <w:t xml:space="preserve">For undergraduate degrees at UK institutions, and for certain teacher training degrees. </w:t>
            </w:r>
          </w:p>
        </w:tc>
        <w:tc>
          <w:tcPr>
            <w:tcW w:w="1110" w:type="pct"/>
            <w:vAlign w:val="center"/>
          </w:tcPr>
          <w:p w:rsidR="006357C5" w:rsidRPr="00DC71B4" w:rsidRDefault="006357C5" w:rsidP="002554CF">
            <w:pPr>
              <w:spacing w:line="240" w:lineRule="auto"/>
              <w:rPr>
                <w:sz w:val="20"/>
                <w:szCs w:val="20"/>
              </w:rPr>
            </w:pPr>
          </w:p>
          <w:p w:rsidR="006357C5" w:rsidRPr="00DC71B4" w:rsidRDefault="006357C5" w:rsidP="002554CF">
            <w:pPr>
              <w:spacing w:line="240" w:lineRule="auto"/>
              <w:rPr>
                <w:sz w:val="20"/>
                <w:szCs w:val="20"/>
              </w:rPr>
            </w:pPr>
            <w:r w:rsidRPr="00DC71B4">
              <w:rPr>
                <w:sz w:val="20"/>
                <w:szCs w:val="20"/>
              </w:rPr>
              <w:t>Income contingent.</w:t>
            </w:r>
          </w:p>
          <w:p w:rsidR="006357C5" w:rsidRPr="00DC71B4" w:rsidRDefault="006357C5" w:rsidP="002554CF">
            <w:pPr>
              <w:spacing w:line="240" w:lineRule="auto"/>
              <w:rPr>
                <w:sz w:val="20"/>
                <w:szCs w:val="20"/>
              </w:rPr>
            </w:pPr>
            <w:r w:rsidRPr="00DC71B4">
              <w:rPr>
                <w:sz w:val="20"/>
                <w:szCs w:val="20"/>
              </w:rPr>
              <w:t>9% of income earned above £21,000 per year. Standing debt after 30 years is forgiven.</w:t>
            </w:r>
          </w:p>
          <w:p w:rsidR="006357C5" w:rsidRPr="00DC71B4" w:rsidRDefault="006357C5" w:rsidP="002554CF">
            <w:pPr>
              <w:spacing w:line="240" w:lineRule="auto"/>
              <w:rPr>
                <w:sz w:val="20"/>
                <w:szCs w:val="20"/>
              </w:rPr>
            </w:pPr>
            <w:r w:rsidRPr="00DC71B4">
              <w:rPr>
                <w:sz w:val="20"/>
                <w:szCs w:val="20"/>
              </w:rPr>
              <w:t xml:space="preserve">Repayment starts on the April following the year the student graduates or drop outs. For students starting in 2012 repayment starts on the April following the year graduates earn ≥£21,000. </w:t>
            </w:r>
          </w:p>
          <w:p w:rsidR="006357C5" w:rsidRPr="00DC71B4" w:rsidRDefault="006357C5" w:rsidP="002554CF">
            <w:pPr>
              <w:spacing w:line="240" w:lineRule="auto"/>
              <w:rPr>
                <w:sz w:val="20"/>
                <w:szCs w:val="20"/>
              </w:rPr>
            </w:pPr>
            <w:r w:rsidRPr="00DC71B4">
              <w:rPr>
                <w:sz w:val="20"/>
                <w:szCs w:val="20"/>
              </w:rPr>
              <w:t>Additional payments are allowed at any given time.</w:t>
            </w:r>
          </w:p>
          <w:p w:rsidR="006357C5" w:rsidRPr="00DC71B4" w:rsidRDefault="006357C5" w:rsidP="002554CF">
            <w:pPr>
              <w:spacing w:line="240" w:lineRule="auto"/>
              <w:rPr>
                <w:sz w:val="20"/>
                <w:szCs w:val="20"/>
              </w:rPr>
            </w:pPr>
          </w:p>
        </w:tc>
        <w:tc>
          <w:tcPr>
            <w:tcW w:w="871" w:type="pct"/>
            <w:vAlign w:val="center"/>
          </w:tcPr>
          <w:p w:rsidR="006357C5" w:rsidRPr="00DC71B4" w:rsidRDefault="006357C5" w:rsidP="002554CF">
            <w:pPr>
              <w:spacing w:line="240" w:lineRule="auto"/>
              <w:rPr>
                <w:sz w:val="20"/>
                <w:szCs w:val="20"/>
              </w:rPr>
            </w:pPr>
            <w:r w:rsidRPr="00DC71B4">
              <w:rPr>
                <w:sz w:val="20"/>
                <w:szCs w:val="20"/>
              </w:rPr>
              <w:t xml:space="preserve">For the year 2011 – 2012 an interest rate of 1.5% applies. </w:t>
            </w:r>
          </w:p>
          <w:p w:rsidR="006357C5" w:rsidRPr="00DC71B4" w:rsidRDefault="006357C5" w:rsidP="002554CF">
            <w:pPr>
              <w:spacing w:line="240" w:lineRule="auto"/>
              <w:rPr>
                <w:sz w:val="20"/>
                <w:szCs w:val="20"/>
              </w:rPr>
            </w:pPr>
            <w:r w:rsidRPr="00DC71B4">
              <w:rPr>
                <w:sz w:val="20"/>
                <w:szCs w:val="20"/>
              </w:rPr>
              <w:t xml:space="preserve">From 2012 interest is charged from day 1 of the loan: rate of inflation + 3% while the borrower studies, rate of inflation for graduates who earn ≤£21,000, and from that upwards rate of inflation + up to 3% depending on your income. </w:t>
            </w:r>
          </w:p>
        </w:tc>
        <w:tc>
          <w:tcPr>
            <w:tcW w:w="991" w:type="pct"/>
            <w:vAlign w:val="center"/>
          </w:tcPr>
          <w:p w:rsidR="006357C5" w:rsidRPr="00DC71B4" w:rsidRDefault="006357C5" w:rsidP="002554CF">
            <w:pPr>
              <w:spacing w:line="240" w:lineRule="auto"/>
              <w:rPr>
                <w:sz w:val="20"/>
                <w:szCs w:val="20"/>
              </w:rPr>
            </w:pPr>
            <w:r w:rsidRPr="00DC71B4">
              <w:rPr>
                <w:sz w:val="20"/>
                <w:szCs w:val="20"/>
              </w:rPr>
              <w:t xml:space="preserve">Tuition fee loans: up to the whole tuition costs. </w:t>
            </w:r>
          </w:p>
        </w:tc>
        <w:tc>
          <w:tcPr>
            <w:tcW w:w="849" w:type="pct"/>
            <w:vAlign w:val="center"/>
          </w:tcPr>
          <w:p w:rsidR="006357C5" w:rsidRPr="00DC71B4" w:rsidRDefault="006357C5" w:rsidP="002554CF">
            <w:pPr>
              <w:spacing w:line="240" w:lineRule="auto"/>
              <w:rPr>
                <w:sz w:val="20"/>
                <w:szCs w:val="20"/>
              </w:rPr>
            </w:pPr>
            <w:r w:rsidRPr="00DC71B4">
              <w:rPr>
                <w:sz w:val="20"/>
                <w:szCs w:val="20"/>
              </w:rPr>
              <w:t xml:space="preserve">The employer is advised by HM Revenue &amp; Customs to calculate student loan repayments from the borrower’s payroll. </w:t>
            </w:r>
          </w:p>
        </w:tc>
      </w:tr>
      <w:tr w:rsidR="006357C5" w:rsidRPr="00DC71B4" w:rsidTr="002554CF">
        <w:trPr>
          <w:cantSplit/>
          <w:trHeight w:val="1134"/>
        </w:trPr>
        <w:tc>
          <w:tcPr>
            <w:tcW w:w="189" w:type="pct"/>
            <w:shd w:val="clear" w:color="auto" w:fill="F2F2F2"/>
            <w:textDirection w:val="btLr"/>
            <w:vAlign w:val="center"/>
          </w:tcPr>
          <w:p w:rsidR="006357C5" w:rsidRPr="00DC71B4" w:rsidRDefault="006357C5" w:rsidP="002554CF">
            <w:pPr>
              <w:spacing w:line="240" w:lineRule="auto"/>
              <w:ind w:left="113" w:right="113"/>
              <w:rPr>
                <w:b/>
              </w:rPr>
            </w:pPr>
            <w:r w:rsidRPr="00DC71B4">
              <w:rPr>
                <w:b/>
              </w:rPr>
              <w:t>Hungary</w:t>
            </w:r>
          </w:p>
        </w:tc>
        <w:tc>
          <w:tcPr>
            <w:tcW w:w="991" w:type="pct"/>
            <w:vAlign w:val="center"/>
          </w:tcPr>
          <w:p w:rsidR="006357C5" w:rsidRPr="00DC71B4" w:rsidRDefault="006357C5" w:rsidP="002554CF">
            <w:pPr>
              <w:spacing w:line="240" w:lineRule="auto"/>
              <w:rPr>
                <w:sz w:val="20"/>
                <w:szCs w:val="20"/>
              </w:rPr>
            </w:pPr>
            <w:r w:rsidRPr="00DC71B4">
              <w:rPr>
                <w:sz w:val="20"/>
                <w:szCs w:val="20"/>
              </w:rPr>
              <w:t xml:space="preserve">Hungarian citizens or foreigners with a valid migration status, 40 years old or younger. </w:t>
            </w:r>
          </w:p>
          <w:p w:rsidR="006357C5" w:rsidRPr="00DC71B4" w:rsidRDefault="006357C5" w:rsidP="002554CF">
            <w:pPr>
              <w:spacing w:line="240" w:lineRule="auto"/>
              <w:rPr>
                <w:sz w:val="20"/>
                <w:szCs w:val="20"/>
              </w:rPr>
            </w:pPr>
            <w:r w:rsidRPr="00DC71B4">
              <w:rPr>
                <w:sz w:val="20"/>
                <w:szCs w:val="20"/>
              </w:rPr>
              <w:t xml:space="preserve">Enrolled at a TEI, without any other valid student loan contract. </w:t>
            </w:r>
          </w:p>
        </w:tc>
        <w:tc>
          <w:tcPr>
            <w:tcW w:w="1110" w:type="pct"/>
            <w:vAlign w:val="center"/>
          </w:tcPr>
          <w:p w:rsidR="006357C5" w:rsidRPr="00DC71B4" w:rsidRDefault="006357C5" w:rsidP="002554CF">
            <w:pPr>
              <w:spacing w:line="240" w:lineRule="auto"/>
              <w:rPr>
                <w:sz w:val="20"/>
                <w:szCs w:val="20"/>
                <w:vertAlign w:val="superscript"/>
              </w:rPr>
            </w:pPr>
            <w:r w:rsidRPr="00DC71B4">
              <w:rPr>
                <w:sz w:val="20"/>
                <w:szCs w:val="20"/>
              </w:rPr>
              <w:t>Four months after graduation. For Borrowers of &lt; HUF 50,000/month: 6% of minimum wage as of 31 October in the previous year (1st and 2nd year); Monthly fees of 1/12</w:t>
            </w:r>
            <w:r w:rsidRPr="00DC71B4">
              <w:rPr>
                <w:sz w:val="20"/>
                <w:szCs w:val="20"/>
                <w:vertAlign w:val="superscript"/>
              </w:rPr>
              <w:t>t</w:t>
            </w:r>
          </w:p>
          <w:p w:rsidR="006357C5" w:rsidRPr="00DC71B4" w:rsidRDefault="006357C5" w:rsidP="002554CF">
            <w:pPr>
              <w:spacing w:line="240" w:lineRule="auto"/>
              <w:rPr>
                <w:sz w:val="20"/>
                <w:szCs w:val="20"/>
              </w:rPr>
            </w:pPr>
            <w:r w:rsidRPr="00DC71B4">
              <w:rPr>
                <w:sz w:val="20"/>
                <w:szCs w:val="20"/>
              </w:rPr>
              <w:t>of 6% of income earned 2 years earlier (3rd year onwards). For Borrowers of ≥ HUF 50,000/month (at least once): Monthly fees of 1/12</w:t>
            </w:r>
            <w:r w:rsidRPr="00DC71B4">
              <w:rPr>
                <w:sz w:val="20"/>
                <w:szCs w:val="20"/>
                <w:vertAlign w:val="superscript"/>
              </w:rPr>
              <w:t>th</w:t>
            </w:r>
            <w:r w:rsidRPr="00DC71B4">
              <w:rPr>
                <w:sz w:val="20"/>
                <w:szCs w:val="20"/>
              </w:rPr>
              <w:t xml:space="preserve"> of ≥ 8% of minimum wage (1st </w:t>
            </w:r>
          </w:p>
          <w:p w:rsidR="006357C5" w:rsidRPr="00DC71B4" w:rsidRDefault="006357C5" w:rsidP="002554CF">
            <w:pPr>
              <w:spacing w:line="240" w:lineRule="auto"/>
              <w:rPr>
                <w:sz w:val="20"/>
                <w:szCs w:val="20"/>
              </w:rPr>
            </w:pPr>
            <w:r w:rsidRPr="00DC71B4">
              <w:rPr>
                <w:sz w:val="20"/>
                <w:szCs w:val="20"/>
              </w:rPr>
              <w:t>and 2nd year); Monthly fees of 1/12</w:t>
            </w:r>
            <w:r w:rsidRPr="00DC71B4">
              <w:rPr>
                <w:sz w:val="20"/>
                <w:szCs w:val="20"/>
                <w:vertAlign w:val="superscript"/>
              </w:rPr>
              <w:t>th</w:t>
            </w:r>
            <w:r w:rsidRPr="00DC71B4">
              <w:rPr>
                <w:sz w:val="20"/>
                <w:szCs w:val="20"/>
              </w:rPr>
              <w:t xml:space="preserve"> of ≥ 8% of income earned 2 years earlier (3rd year onwards).</w:t>
            </w:r>
          </w:p>
          <w:p w:rsidR="006357C5" w:rsidRPr="00DC71B4" w:rsidRDefault="006357C5" w:rsidP="002554CF">
            <w:pPr>
              <w:spacing w:line="240" w:lineRule="auto"/>
              <w:rPr>
                <w:sz w:val="20"/>
                <w:szCs w:val="20"/>
              </w:rPr>
            </w:pPr>
          </w:p>
        </w:tc>
        <w:tc>
          <w:tcPr>
            <w:tcW w:w="871" w:type="pct"/>
            <w:vAlign w:val="center"/>
          </w:tcPr>
          <w:p w:rsidR="006357C5" w:rsidRPr="00DC71B4" w:rsidRDefault="006357C5" w:rsidP="002554CF">
            <w:pPr>
              <w:spacing w:line="240" w:lineRule="auto"/>
              <w:rPr>
                <w:sz w:val="20"/>
                <w:szCs w:val="20"/>
              </w:rPr>
            </w:pPr>
            <w:r w:rsidRPr="00DC71B4">
              <w:rPr>
                <w:sz w:val="20"/>
                <w:szCs w:val="20"/>
              </w:rPr>
              <w:t>8 % charged from first day of disbursement. Interest = financing costs + risk premium (2%) + administration costs (1%)</w:t>
            </w:r>
          </w:p>
        </w:tc>
        <w:tc>
          <w:tcPr>
            <w:tcW w:w="991" w:type="pct"/>
            <w:vAlign w:val="center"/>
          </w:tcPr>
          <w:p w:rsidR="006357C5" w:rsidRPr="00DC71B4" w:rsidRDefault="006357C5" w:rsidP="002554CF">
            <w:pPr>
              <w:spacing w:line="240" w:lineRule="auto"/>
              <w:rPr>
                <w:sz w:val="20"/>
                <w:szCs w:val="20"/>
              </w:rPr>
            </w:pPr>
            <w:r w:rsidRPr="00DC71B4">
              <w:rPr>
                <w:sz w:val="20"/>
                <w:szCs w:val="20"/>
              </w:rPr>
              <w:t>State-financed students: HUF 200,000/semester. Self-financed students: HUF 250,000/semester. From 2010-2011, state-financed students can request HUF 15,000, HUF 21,000, HUF 25,000, HUF 30,000 or HUF 40,000 every month. HUF 50,000 or HUF 60,000 per month in exceptional cases.</w:t>
            </w:r>
          </w:p>
        </w:tc>
        <w:tc>
          <w:tcPr>
            <w:tcW w:w="849" w:type="pct"/>
            <w:vAlign w:val="center"/>
          </w:tcPr>
          <w:p w:rsidR="006357C5" w:rsidRPr="00DC71B4" w:rsidRDefault="006357C5" w:rsidP="002554CF">
            <w:pPr>
              <w:spacing w:line="240" w:lineRule="auto"/>
              <w:rPr>
                <w:sz w:val="20"/>
                <w:szCs w:val="20"/>
              </w:rPr>
            </w:pPr>
            <w:r w:rsidRPr="00DC71B4">
              <w:rPr>
                <w:sz w:val="20"/>
                <w:szCs w:val="20"/>
              </w:rPr>
              <w:t>?</w:t>
            </w:r>
          </w:p>
        </w:tc>
      </w:tr>
      <w:tr w:rsidR="006357C5" w:rsidRPr="00DC71B4" w:rsidTr="002554CF">
        <w:trPr>
          <w:cantSplit/>
          <w:trHeight w:val="1134"/>
        </w:trPr>
        <w:tc>
          <w:tcPr>
            <w:tcW w:w="189" w:type="pct"/>
            <w:shd w:val="clear" w:color="auto" w:fill="F2F2F2"/>
            <w:textDirection w:val="btLr"/>
            <w:vAlign w:val="center"/>
          </w:tcPr>
          <w:p w:rsidR="006357C5" w:rsidRPr="00DC71B4" w:rsidRDefault="006357C5" w:rsidP="002554CF">
            <w:pPr>
              <w:spacing w:line="240" w:lineRule="auto"/>
              <w:ind w:left="113" w:right="113"/>
              <w:rPr>
                <w:b/>
                <w:sz w:val="20"/>
                <w:szCs w:val="20"/>
              </w:rPr>
            </w:pPr>
            <w:r w:rsidRPr="00DC71B4">
              <w:rPr>
                <w:b/>
                <w:sz w:val="20"/>
                <w:szCs w:val="20"/>
              </w:rPr>
              <w:lastRenderedPageBreak/>
              <w:t>South Africa</w:t>
            </w:r>
          </w:p>
        </w:tc>
        <w:tc>
          <w:tcPr>
            <w:tcW w:w="991" w:type="pct"/>
            <w:vAlign w:val="center"/>
          </w:tcPr>
          <w:p w:rsidR="006357C5" w:rsidRPr="00DC71B4" w:rsidRDefault="006357C5" w:rsidP="002554CF">
            <w:pPr>
              <w:spacing w:line="240" w:lineRule="auto"/>
              <w:rPr>
                <w:bCs/>
                <w:sz w:val="20"/>
                <w:szCs w:val="20"/>
              </w:rPr>
            </w:pPr>
            <w:r w:rsidRPr="00DC71B4">
              <w:rPr>
                <w:bCs/>
                <w:sz w:val="20"/>
                <w:szCs w:val="20"/>
              </w:rPr>
              <w:t>Demonstrated financial need—family income less than R122,000 ($16,531) per year—and academic merit (admission to a public university).</w:t>
            </w:r>
          </w:p>
          <w:p w:rsidR="006357C5" w:rsidRPr="00DC71B4" w:rsidRDefault="006357C5" w:rsidP="002554CF">
            <w:pPr>
              <w:spacing w:line="240" w:lineRule="auto"/>
              <w:rPr>
                <w:sz w:val="20"/>
                <w:szCs w:val="20"/>
              </w:rPr>
            </w:pPr>
            <w:r w:rsidRPr="00DC71B4">
              <w:rPr>
                <w:bCs/>
                <w:sz w:val="20"/>
                <w:szCs w:val="20"/>
              </w:rPr>
              <w:t>Since allocation is done through universities, borrowers may need to meet additional, university-specific criteria.</w:t>
            </w:r>
          </w:p>
        </w:tc>
        <w:tc>
          <w:tcPr>
            <w:tcW w:w="1110" w:type="pct"/>
            <w:vAlign w:val="center"/>
          </w:tcPr>
          <w:p w:rsidR="006357C5" w:rsidRPr="00DC71B4" w:rsidRDefault="006357C5" w:rsidP="002554CF">
            <w:pPr>
              <w:spacing w:line="240" w:lineRule="auto"/>
              <w:rPr>
                <w:sz w:val="20"/>
                <w:szCs w:val="20"/>
              </w:rPr>
            </w:pPr>
            <w:r w:rsidRPr="00DC71B4">
              <w:rPr>
                <w:bCs/>
                <w:sz w:val="20"/>
                <w:szCs w:val="20"/>
              </w:rPr>
              <w:t>Graduates repay only when they start to earn a salary that is R30,000 ($4,065) or more. The repayment rate starts at 3% of a graduate’s annual salary and can increase up to 8% when the graduate’s salary reaches R59,300 ($8,035) a year or more.</w:t>
            </w:r>
          </w:p>
        </w:tc>
        <w:tc>
          <w:tcPr>
            <w:tcW w:w="871" w:type="pct"/>
            <w:vAlign w:val="center"/>
          </w:tcPr>
          <w:p w:rsidR="006357C5" w:rsidRPr="00DC71B4" w:rsidRDefault="006357C5" w:rsidP="002554CF">
            <w:pPr>
              <w:spacing w:line="240" w:lineRule="auto"/>
              <w:rPr>
                <w:sz w:val="20"/>
                <w:szCs w:val="20"/>
              </w:rPr>
            </w:pPr>
            <w:r w:rsidRPr="00DC71B4">
              <w:rPr>
                <w:bCs/>
                <w:sz w:val="20"/>
                <w:szCs w:val="20"/>
              </w:rPr>
              <w:t>The interest rate on a NSFAS loan is calculated annually and is generally equal to South Africa’s annual rate of inflation plus another 2%</w:t>
            </w:r>
          </w:p>
        </w:tc>
        <w:tc>
          <w:tcPr>
            <w:tcW w:w="991" w:type="pct"/>
            <w:vAlign w:val="center"/>
          </w:tcPr>
          <w:p w:rsidR="006357C5" w:rsidRPr="00DC71B4" w:rsidRDefault="006357C5" w:rsidP="002554CF">
            <w:pPr>
              <w:spacing w:line="240" w:lineRule="auto"/>
              <w:rPr>
                <w:sz w:val="20"/>
                <w:szCs w:val="20"/>
              </w:rPr>
            </w:pPr>
            <w:r w:rsidRPr="00DC71B4">
              <w:rPr>
                <w:sz w:val="20"/>
                <w:szCs w:val="20"/>
              </w:rPr>
              <w:t>NSFAS loans are expected to cover all essential expenses, with maximum amounts determined yearly. The maximum amount corresponding to 2010 was R47,000</w:t>
            </w:r>
          </w:p>
        </w:tc>
        <w:tc>
          <w:tcPr>
            <w:tcW w:w="849" w:type="pct"/>
            <w:vAlign w:val="center"/>
          </w:tcPr>
          <w:p w:rsidR="006357C5" w:rsidRPr="00DC71B4" w:rsidRDefault="006357C5" w:rsidP="002554CF">
            <w:pPr>
              <w:spacing w:line="240" w:lineRule="auto"/>
              <w:rPr>
                <w:sz w:val="20"/>
                <w:szCs w:val="20"/>
              </w:rPr>
            </w:pPr>
            <w:r w:rsidRPr="00DC71B4">
              <w:rPr>
                <w:bCs/>
                <w:sz w:val="20"/>
                <w:szCs w:val="20"/>
              </w:rPr>
              <w:t>Proof of parent’s income (pay stubs); proof of siblings’ concurrent enrollment in university</w:t>
            </w:r>
          </w:p>
        </w:tc>
      </w:tr>
    </w:tbl>
    <w:p w:rsidR="006357C5" w:rsidRPr="00DF0CD6" w:rsidRDefault="006357C5" w:rsidP="006357C5">
      <w:pPr>
        <w:spacing w:line="360" w:lineRule="auto"/>
        <w:rPr>
          <w:sz w:val="20"/>
          <w:szCs w:val="20"/>
        </w:rPr>
      </w:pPr>
    </w:p>
    <w:p w:rsidR="006357C5" w:rsidRPr="00DF0CD6" w:rsidRDefault="006357C5" w:rsidP="006357C5">
      <w:pPr>
        <w:sectPr w:rsidR="006357C5" w:rsidRPr="00DF0CD6" w:rsidSect="006357C5">
          <w:footerReference w:type="default" r:id="rId13"/>
          <w:pgSz w:w="12240" w:h="15840"/>
          <w:pgMar w:top="1440" w:right="1440" w:bottom="1440" w:left="1440" w:header="720" w:footer="720" w:gutter="0"/>
          <w:cols w:space="720"/>
          <w:docGrid w:linePitch="360"/>
        </w:sectPr>
      </w:pPr>
      <w:r w:rsidRPr="00DF0CD6">
        <w:br w:type="page"/>
      </w:r>
      <w:bookmarkStart w:id="42" w:name="_Toc311739667"/>
    </w:p>
    <w:p w:rsidR="006357C5" w:rsidRDefault="006357C5" w:rsidP="006357C5">
      <w:pPr>
        <w:pStyle w:val="TableHeading"/>
      </w:pPr>
      <w:bookmarkStart w:id="43" w:name="_Toc315363049"/>
      <w:bookmarkStart w:id="44" w:name="_Toc328382211"/>
      <w:bookmarkStart w:id="45" w:name="_Toc328742895"/>
      <w:r>
        <w:lastRenderedPageBreak/>
        <w:t xml:space="preserve">Table 49: </w:t>
      </w:r>
      <w:r w:rsidRPr="00DF0CD6">
        <w:t>Basic Facts for selected OECD economies</w:t>
      </w:r>
      <w:bookmarkEnd w:id="42"/>
      <w:bookmarkEnd w:id="43"/>
      <w:bookmarkEnd w:id="44"/>
      <w:bookmarkEnd w:id="45"/>
    </w:p>
    <w:p w:rsidR="006357C5" w:rsidRDefault="006357C5" w:rsidP="006357C5">
      <w:pPr>
        <w:pStyle w:val="TableHeading"/>
      </w:pPr>
    </w:p>
    <w:tbl>
      <w:tblPr>
        <w:tblW w:w="14867" w:type="dxa"/>
        <w:jc w:val="center"/>
        <w:tblInd w:w="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1748"/>
        <w:gridCol w:w="732"/>
        <w:gridCol w:w="843"/>
        <w:gridCol w:w="623"/>
        <w:gridCol w:w="623"/>
        <w:gridCol w:w="733"/>
        <w:gridCol w:w="843"/>
        <w:gridCol w:w="765"/>
        <w:gridCol w:w="684"/>
        <w:gridCol w:w="686"/>
        <w:gridCol w:w="781"/>
        <w:gridCol w:w="669"/>
        <w:gridCol w:w="789"/>
        <w:gridCol w:w="847"/>
        <w:gridCol w:w="917"/>
        <w:gridCol w:w="680"/>
        <w:gridCol w:w="847"/>
        <w:gridCol w:w="1057"/>
      </w:tblGrid>
      <w:tr w:rsidR="006357C5" w:rsidRPr="00DC71B4" w:rsidTr="002554CF">
        <w:trPr>
          <w:cantSplit/>
          <w:trHeight w:val="3625"/>
          <w:jc w:val="center"/>
        </w:trPr>
        <w:tc>
          <w:tcPr>
            <w:tcW w:w="1749" w:type="dxa"/>
            <w:shd w:val="clear" w:color="auto" w:fill="BFBFBF"/>
            <w:textDirection w:val="btLr"/>
            <w:vAlign w:val="center"/>
          </w:tcPr>
          <w:p w:rsidR="006357C5" w:rsidRPr="00DC71B4" w:rsidRDefault="006357C5" w:rsidP="002554CF">
            <w:pPr>
              <w:spacing w:line="240" w:lineRule="auto"/>
              <w:ind w:left="113" w:right="113"/>
              <w:rPr>
                <w:b/>
                <w:bCs/>
                <w:sz w:val="20"/>
                <w:szCs w:val="20"/>
              </w:rPr>
            </w:pPr>
            <w:r w:rsidRPr="00DC71B4">
              <w:rPr>
                <w:bCs/>
                <w:sz w:val="20"/>
                <w:szCs w:val="20"/>
              </w:rPr>
              <w:t>Country</w:t>
            </w:r>
          </w:p>
        </w:tc>
        <w:tc>
          <w:tcPr>
            <w:tcW w:w="0" w:type="auto"/>
            <w:shd w:val="clear" w:color="auto" w:fill="BFBFBF"/>
            <w:textDirection w:val="btLr"/>
            <w:vAlign w:val="center"/>
          </w:tcPr>
          <w:p w:rsidR="006357C5" w:rsidRPr="00DC71B4" w:rsidRDefault="006357C5" w:rsidP="002554CF">
            <w:pPr>
              <w:spacing w:line="240" w:lineRule="auto"/>
              <w:ind w:left="113" w:right="113"/>
              <w:rPr>
                <w:b/>
                <w:bCs/>
                <w:sz w:val="20"/>
                <w:szCs w:val="20"/>
              </w:rPr>
            </w:pPr>
            <w:r w:rsidRPr="00DC71B4">
              <w:rPr>
                <w:bCs/>
                <w:sz w:val="20"/>
                <w:szCs w:val="20"/>
              </w:rPr>
              <w:t>1. Population (millions)</w:t>
            </w:r>
          </w:p>
        </w:tc>
        <w:tc>
          <w:tcPr>
            <w:tcW w:w="0" w:type="auto"/>
            <w:shd w:val="clear" w:color="auto" w:fill="BFBFBF"/>
            <w:textDirection w:val="btLr"/>
            <w:vAlign w:val="center"/>
          </w:tcPr>
          <w:p w:rsidR="006357C5" w:rsidRPr="00DC71B4" w:rsidRDefault="006357C5" w:rsidP="002554CF">
            <w:pPr>
              <w:spacing w:line="240" w:lineRule="auto"/>
              <w:ind w:left="113" w:right="113"/>
              <w:rPr>
                <w:b/>
                <w:bCs/>
                <w:sz w:val="20"/>
                <w:szCs w:val="20"/>
              </w:rPr>
            </w:pPr>
            <w:r w:rsidRPr="00DC71B4">
              <w:rPr>
                <w:bCs/>
                <w:sz w:val="20"/>
                <w:szCs w:val="20"/>
              </w:rPr>
              <w:t>2. GDP per capita (US$, current prices and PPP)</w:t>
            </w:r>
          </w:p>
        </w:tc>
        <w:tc>
          <w:tcPr>
            <w:tcW w:w="0" w:type="auto"/>
            <w:shd w:val="clear" w:color="auto" w:fill="BFBFBF"/>
            <w:textDirection w:val="btLr"/>
            <w:vAlign w:val="center"/>
          </w:tcPr>
          <w:p w:rsidR="006357C5" w:rsidRPr="00DC71B4" w:rsidRDefault="006357C5" w:rsidP="002554CF">
            <w:pPr>
              <w:spacing w:line="240" w:lineRule="auto"/>
              <w:ind w:left="113" w:right="113"/>
              <w:rPr>
                <w:b/>
                <w:bCs/>
                <w:sz w:val="20"/>
                <w:szCs w:val="20"/>
              </w:rPr>
            </w:pPr>
            <w:r w:rsidRPr="00DC71B4">
              <w:rPr>
                <w:bCs/>
                <w:sz w:val="20"/>
                <w:szCs w:val="20"/>
              </w:rPr>
              <w:t>3. Gini coefficient (late 2000’s)</w:t>
            </w:r>
          </w:p>
        </w:tc>
        <w:tc>
          <w:tcPr>
            <w:tcW w:w="0" w:type="auto"/>
            <w:shd w:val="clear" w:color="auto" w:fill="BFBFBF"/>
            <w:textDirection w:val="btLr"/>
          </w:tcPr>
          <w:p w:rsidR="006357C5" w:rsidRPr="00DC71B4" w:rsidRDefault="006357C5" w:rsidP="002554CF">
            <w:pPr>
              <w:spacing w:line="240" w:lineRule="auto"/>
              <w:ind w:left="113" w:right="113"/>
              <w:rPr>
                <w:b/>
                <w:bCs/>
                <w:sz w:val="20"/>
                <w:szCs w:val="20"/>
              </w:rPr>
            </w:pPr>
            <w:r w:rsidRPr="00DC71B4">
              <w:rPr>
                <w:bCs/>
                <w:sz w:val="20"/>
                <w:szCs w:val="20"/>
              </w:rPr>
              <w:t>4. Total tax revenue as a percentage of GDP</w:t>
            </w:r>
          </w:p>
        </w:tc>
        <w:tc>
          <w:tcPr>
            <w:tcW w:w="0" w:type="auto"/>
            <w:shd w:val="clear" w:color="auto" w:fill="BFBFBF"/>
            <w:textDirection w:val="btLr"/>
            <w:vAlign w:val="center"/>
          </w:tcPr>
          <w:p w:rsidR="006357C5" w:rsidRPr="00DC71B4" w:rsidRDefault="006357C5" w:rsidP="002554CF">
            <w:pPr>
              <w:spacing w:line="240" w:lineRule="auto"/>
              <w:ind w:left="113" w:right="113"/>
              <w:rPr>
                <w:b/>
                <w:bCs/>
                <w:sz w:val="20"/>
                <w:szCs w:val="20"/>
              </w:rPr>
            </w:pPr>
            <w:r w:rsidRPr="00DC71B4">
              <w:rPr>
                <w:bCs/>
                <w:sz w:val="20"/>
                <w:szCs w:val="20"/>
              </w:rPr>
              <w:t>5. Average tax wedge † (%)</w:t>
            </w:r>
          </w:p>
        </w:tc>
        <w:tc>
          <w:tcPr>
            <w:tcW w:w="0" w:type="auto"/>
            <w:shd w:val="clear" w:color="auto" w:fill="BFBFBF"/>
            <w:textDirection w:val="btLr"/>
            <w:vAlign w:val="center"/>
          </w:tcPr>
          <w:p w:rsidR="006357C5" w:rsidRPr="00DC71B4" w:rsidRDefault="006357C5" w:rsidP="002554CF">
            <w:pPr>
              <w:spacing w:line="240" w:lineRule="auto"/>
              <w:ind w:left="113" w:right="113"/>
              <w:rPr>
                <w:b/>
                <w:bCs/>
                <w:sz w:val="20"/>
                <w:szCs w:val="20"/>
              </w:rPr>
            </w:pPr>
            <w:r w:rsidRPr="00DC71B4">
              <w:rPr>
                <w:bCs/>
                <w:sz w:val="20"/>
                <w:szCs w:val="20"/>
              </w:rPr>
              <w:t>6. Average annual gross wage for full-time employment † (US$, PPP)</w:t>
            </w:r>
          </w:p>
        </w:tc>
        <w:tc>
          <w:tcPr>
            <w:tcW w:w="0" w:type="auto"/>
            <w:shd w:val="clear" w:color="auto" w:fill="BFBFBF"/>
            <w:textDirection w:val="btLr"/>
            <w:vAlign w:val="center"/>
          </w:tcPr>
          <w:p w:rsidR="006357C5" w:rsidRPr="00DC71B4" w:rsidRDefault="006357C5" w:rsidP="002554CF">
            <w:pPr>
              <w:spacing w:line="240" w:lineRule="auto"/>
              <w:ind w:left="113" w:right="113"/>
              <w:rPr>
                <w:b/>
                <w:bCs/>
                <w:sz w:val="20"/>
                <w:szCs w:val="20"/>
              </w:rPr>
            </w:pPr>
            <w:r w:rsidRPr="00DC71B4">
              <w:rPr>
                <w:bCs/>
                <w:sz w:val="20"/>
                <w:szCs w:val="20"/>
              </w:rPr>
              <w:t>7. Public social expenditure (% GDP)</w:t>
            </w:r>
            <w:r w:rsidRPr="00DC71B4">
              <w:rPr>
                <w:bCs/>
                <w:sz w:val="20"/>
                <w:szCs w:val="20"/>
              </w:rPr>
              <w:br/>
              <w:t>(2007)</w:t>
            </w:r>
          </w:p>
        </w:tc>
        <w:tc>
          <w:tcPr>
            <w:tcW w:w="684" w:type="dxa"/>
            <w:shd w:val="clear" w:color="auto" w:fill="BFBFBF"/>
            <w:textDirection w:val="btLr"/>
            <w:vAlign w:val="center"/>
          </w:tcPr>
          <w:p w:rsidR="006357C5" w:rsidRPr="00DC71B4" w:rsidRDefault="006357C5" w:rsidP="002554CF">
            <w:pPr>
              <w:spacing w:line="240" w:lineRule="auto"/>
              <w:ind w:left="113" w:right="113"/>
              <w:rPr>
                <w:b/>
                <w:bCs/>
                <w:sz w:val="20"/>
                <w:szCs w:val="20"/>
              </w:rPr>
            </w:pPr>
            <w:r w:rsidRPr="00DC71B4">
              <w:rPr>
                <w:bCs/>
                <w:sz w:val="20"/>
                <w:szCs w:val="20"/>
              </w:rPr>
              <w:t>8. Public expenditure on tertiary education (% GDP) (2008)</w:t>
            </w:r>
          </w:p>
        </w:tc>
        <w:tc>
          <w:tcPr>
            <w:tcW w:w="686" w:type="dxa"/>
            <w:shd w:val="clear" w:color="auto" w:fill="BFBFBF"/>
            <w:textDirection w:val="btLr"/>
            <w:vAlign w:val="center"/>
          </w:tcPr>
          <w:p w:rsidR="006357C5" w:rsidRPr="00DC71B4" w:rsidRDefault="006357C5" w:rsidP="002554CF">
            <w:pPr>
              <w:spacing w:line="240" w:lineRule="auto"/>
              <w:ind w:left="113" w:right="113"/>
              <w:rPr>
                <w:b/>
                <w:bCs/>
                <w:sz w:val="20"/>
                <w:szCs w:val="20"/>
              </w:rPr>
            </w:pPr>
            <w:r w:rsidRPr="00DC71B4">
              <w:rPr>
                <w:bCs/>
                <w:sz w:val="20"/>
                <w:szCs w:val="20"/>
              </w:rPr>
              <w:t>9. Private expenditure on tertiary education (% GDP) (2008)</w:t>
            </w:r>
          </w:p>
        </w:tc>
        <w:tc>
          <w:tcPr>
            <w:tcW w:w="781" w:type="dxa"/>
            <w:shd w:val="clear" w:color="auto" w:fill="BFBFBF"/>
            <w:textDirection w:val="btLr"/>
            <w:vAlign w:val="center"/>
          </w:tcPr>
          <w:p w:rsidR="006357C5" w:rsidRPr="00DC71B4" w:rsidRDefault="006357C5" w:rsidP="002554CF">
            <w:pPr>
              <w:spacing w:line="240" w:lineRule="auto"/>
              <w:ind w:left="113" w:right="113"/>
              <w:rPr>
                <w:b/>
                <w:bCs/>
                <w:sz w:val="20"/>
                <w:szCs w:val="20"/>
              </w:rPr>
            </w:pPr>
            <w:r w:rsidRPr="00DC71B4">
              <w:rPr>
                <w:bCs/>
                <w:sz w:val="20"/>
                <w:szCs w:val="20"/>
              </w:rPr>
              <w:t>10. Population with tertiary education, ages 25-34 (%) (2009)</w:t>
            </w:r>
          </w:p>
        </w:tc>
        <w:tc>
          <w:tcPr>
            <w:tcW w:w="669" w:type="dxa"/>
            <w:shd w:val="clear" w:color="auto" w:fill="BFBFBF"/>
            <w:textDirection w:val="btLr"/>
            <w:vAlign w:val="center"/>
          </w:tcPr>
          <w:p w:rsidR="006357C5" w:rsidRPr="00DC71B4" w:rsidRDefault="006357C5" w:rsidP="002554CF">
            <w:pPr>
              <w:spacing w:line="240" w:lineRule="auto"/>
              <w:ind w:left="113" w:right="113"/>
              <w:rPr>
                <w:b/>
                <w:bCs/>
                <w:sz w:val="18"/>
                <w:szCs w:val="18"/>
              </w:rPr>
            </w:pPr>
            <w:r w:rsidRPr="00DC71B4">
              <w:rPr>
                <w:bCs/>
                <w:sz w:val="18"/>
                <w:szCs w:val="18"/>
              </w:rPr>
              <w:t xml:space="preserve">11. Total number of students enrolled in tertiary education institutions, </w:t>
            </w:r>
            <w:r w:rsidRPr="00DC71B4">
              <w:rPr>
                <w:b/>
                <w:bCs/>
                <w:sz w:val="18"/>
                <w:szCs w:val="18"/>
              </w:rPr>
              <w:t xml:space="preserve">both public and private </w:t>
            </w:r>
            <w:r w:rsidRPr="00DC71B4">
              <w:rPr>
                <w:bCs/>
                <w:sz w:val="18"/>
                <w:szCs w:val="18"/>
              </w:rPr>
              <w:t xml:space="preserve">(in millions) </w:t>
            </w:r>
          </w:p>
        </w:tc>
        <w:tc>
          <w:tcPr>
            <w:tcW w:w="789" w:type="dxa"/>
            <w:shd w:val="clear" w:color="auto" w:fill="BFBFBF"/>
            <w:textDirection w:val="btLr"/>
            <w:vAlign w:val="center"/>
          </w:tcPr>
          <w:p w:rsidR="006357C5" w:rsidRPr="00DC71B4" w:rsidRDefault="006357C5" w:rsidP="002554CF">
            <w:pPr>
              <w:spacing w:line="240" w:lineRule="auto"/>
              <w:ind w:left="113" w:right="113"/>
              <w:rPr>
                <w:b/>
                <w:bCs/>
                <w:sz w:val="18"/>
                <w:szCs w:val="18"/>
              </w:rPr>
            </w:pPr>
            <w:r w:rsidRPr="00DC71B4">
              <w:rPr>
                <w:bCs/>
                <w:sz w:val="18"/>
                <w:szCs w:val="18"/>
              </w:rPr>
              <w:t xml:space="preserve">12. Total number of students enrolled in </w:t>
            </w:r>
            <w:r w:rsidRPr="00DC71B4">
              <w:rPr>
                <w:b/>
                <w:bCs/>
                <w:sz w:val="18"/>
                <w:szCs w:val="18"/>
              </w:rPr>
              <w:t>public</w:t>
            </w:r>
            <w:r w:rsidRPr="00DC71B4">
              <w:rPr>
                <w:bCs/>
                <w:sz w:val="18"/>
                <w:szCs w:val="18"/>
              </w:rPr>
              <w:t xml:space="preserve"> tertiary education institutions (in millions) </w:t>
            </w:r>
          </w:p>
        </w:tc>
        <w:tc>
          <w:tcPr>
            <w:tcW w:w="847" w:type="dxa"/>
            <w:shd w:val="clear" w:color="auto" w:fill="BFBFBF"/>
            <w:textDirection w:val="btLr"/>
            <w:vAlign w:val="center"/>
          </w:tcPr>
          <w:p w:rsidR="006357C5" w:rsidRPr="00DC71B4" w:rsidRDefault="006357C5" w:rsidP="002554CF">
            <w:pPr>
              <w:spacing w:line="240" w:lineRule="auto"/>
              <w:ind w:left="113" w:right="113"/>
              <w:rPr>
                <w:b/>
                <w:bCs/>
                <w:sz w:val="18"/>
                <w:szCs w:val="18"/>
              </w:rPr>
            </w:pPr>
            <w:r w:rsidRPr="00DC71B4">
              <w:rPr>
                <w:bCs/>
                <w:sz w:val="18"/>
                <w:szCs w:val="18"/>
              </w:rPr>
              <w:t xml:space="preserve">13. Total number of students enrolled in </w:t>
            </w:r>
            <w:r w:rsidRPr="00DC71B4">
              <w:rPr>
                <w:b/>
                <w:bCs/>
                <w:sz w:val="18"/>
                <w:szCs w:val="18"/>
              </w:rPr>
              <w:t>private</w:t>
            </w:r>
            <w:r w:rsidRPr="00DC71B4">
              <w:rPr>
                <w:bCs/>
                <w:sz w:val="18"/>
                <w:szCs w:val="18"/>
              </w:rPr>
              <w:t xml:space="preserve"> tertiary education institutions (in millions) </w:t>
            </w:r>
          </w:p>
        </w:tc>
        <w:tc>
          <w:tcPr>
            <w:tcW w:w="917" w:type="dxa"/>
            <w:shd w:val="clear" w:color="auto" w:fill="BFBFBF"/>
            <w:textDirection w:val="btLr"/>
            <w:vAlign w:val="center"/>
          </w:tcPr>
          <w:p w:rsidR="006357C5" w:rsidRPr="00DC71B4" w:rsidRDefault="006357C5" w:rsidP="002554CF">
            <w:pPr>
              <w:spacing w:line="240" w:lineRule="auto"/>
              <w:ind w:left="113" w:right="113"/>
              <w:rPr>
                <w:b/>
                <w:bCs/>
                <w:sz w:val="20"/>
                <w:szCs w:val="20"/>
              </w:rPr>
            </w:pPr>
            <w:r w:rsidRPr="00DC71B4">
              <w:rPr>
                <w:bCs/>
                <w:sz w:val="20"/>
                <w:szCs w:val="20"/>
              </w:rPr>
              <w:t>14. Proportion of students who benefit from public loans and/or scholarships/grants (2008-2009)</w:t>
            </w:r>
          </w:p>
        </w:tc>
        <w:tc>
          <w:tcPr>
            <w:tcW w:w="680" w:type="dxa"/>
            <w:shd w:val="clear" w:color="auto" w:fill="BFBFBF"/>
            <w:textDirection w:val="btLr"/>
            <w:vAlign w:val="center"/>
          </w:tcPr>
          <w:p w:rsidR="006357C5" w:rsidRPr="00DC71B4" w:rsidRDefault="006357C5" w:rsidP="002554CF">
            <w:pPr>
              <w:spacing w:line="240" w:lineRule="auto"/>
              <w:ind w:left="113" w:right="113"/>
              <w:rPr>
                <w:b/>
                <w:bCs/>
                <w:sz w:val="18"/>
                <w:szCs w:val="18"/>
              </w:rPr>
            </w:pPr>
            <w:r w:rsidRPr="00DC71B4">
              <w:rPr>
                <w:bCs/>
                <w:sz w:val="18"/>
                <w:szCs w:val="18"/>
              </w:rPr>
              <w:t>15. Student loans as a percentage of total public expenditure on tertiary education (2008)</w:t>
            </w:r>
          </w:p>
        </w:tc>
        <w:tc>
          <w:tcPr>
            <w:tcW w:w="847" w:type="dxa"/>
            <w:shd w:val="clear" w:color="auto" w:fill="BFBFBF"/>
            <w:textDirection w:val="btLr"/>
            <w:vAlign w:val="center"/>
          </w:tcPr>
          <w:p w:rsidR="006357C5" w:rsidRPr="00DC71B4" w:rsidRDefault="006357C5" w:rsidP="002554CF">
            <w:pPr>
              <w:spacing w:line="240" w:lineRule="auto"/>
              <w:ind w:left="113" w:right="113"/>
              <w:rPr>
                <w:b/>
                <w:bCs/>
                <w:sz w:val="18"/>
                <w:szCs w:val="18"/>
              </w:rPr>
            </w:pPr>
            <w:r w:rsidRPr="00DC71B4">
              <w:rPr>
                <w:bCs/>
                <w:sz w:val="18"/>
                <w:szCs w:val="18"/>
              </w:rPr>
              <w:t>16. Scholarships and other grants to households as percentage of total public expenditure on tertiary education (2008)</w:t>
            </w:r>
          </w:p>
        </w:tc>
        <w:tc>
          <w:tcPr>
            <w:tcW w:w="1057" w:type="dxa"/>
            <w:shd w:val="clear" w:color="auto" w:fill="BFBFBF"/>
            <w:textDirection w:val="btLr"/>
            <w:vAlign w:val="center"/>
          </w:tcPr>
          <w:p w:rsidR="006357C5" w:rsidRPr="00DC71B4" w:rsidRDefault="006357C5" w:rsidP="002554CF">
            <w:pPr>
              <w:spacing w:line="240" w:lineRule="auto"/>
              <w:ind w:left="113" w:right="113"/>
              <w:rPr>
                <w:b/>
                <w:bCs/>
                <w:sz w:val="18"/>
                <w:szCs w:val="18"/>
              </w:rPr>
            </w:pPr>
            <w:r w:rsidRPr="00DC71B4">
              <w:rPr>
                <w:bCs/>
                <w:sz w:val="18"/>
                <w:szCs w:val="18"/>
              </w:rPr>
              <w:t>17. Sum of variables (15) and (16): student loans, scholarships, and other grants to households as percentage of total public expenditure on tertiary education</w:t>
            </w:r>
          </w:p>
        </w:tc>
      </w:tr>
      <w:tr w:rsidR="006357C5" w:rsidRPr="00DC71B4" w:rsidTr="002554CF">
        <w:trPr>
          <w:jc w:val="center"/>
        </w:trPr>
        <w:tc>
          <w:tcPr>
            <w:tcW w:w="1749" w:type="dxa"/>
            <w:vAlign w:val="center"/>
          </w:tcPr>
          <w:p w:rsidR="006357C5" w:rsidRPr="00DC71B4" w:rsidRDefault="006357C5" w:rsidP="002554CF">
            <w:pPr>
              <w:spacing w:line="240" w:lineRule="auto"/>
              <w:rPr>
                <w:b/>
                <w:bCs/>
                <w:sz w:val="18"/>
                <w:szCs w:val="18"/>
              </w:rPr>
            </w:pPr>
            <w:r w:rsidRPr="00DC71B4">
              <w:rPr>
                <w:b/>
                <w:bCs/>
                <w:sz w:val="18"/>
                <w:szCs w:val="18"/>
              </w:rPr>
              <w:t>Australia</w:t>
            </w:r>
          </w:p>
        </w:tc>
        <w:tc>
          <w:tcPr>
            <w:tcW w:w="0" w:type="auto"/>
            <w:vAlign w:val="center"/>
          </w:tcPr>
          <w:p w:rsidR="006357C5" w:rsidRPr="00DC71B4" w:rsidRDefault="006357C5" w:rsidP="002554CF">
            <w:pPr>
              <w:spacing w:line="240" w:lineRule="auto"/>
              <w:rPr>
                <w:sz w:val="18"/>
                <w:szCs w:val="18"/>
              </w:rPr>
            </w:pPr>
            <w:r w:rsidRPr="00DC71B4">
              <w:rPr>
                <w:sz w:val="18"/>
                <w:szCs w:val="18"/>
              </w:rPr>
              <w:t>22.34</w:t>
            </w:r>
          </w:p>
        </w:tc>
        <w:tc>
          <w:tcPr>
            <w:tcW w:w="0" w:type="auto"/>
            <w:vAlign w:val="center"/>
          </w:tcPr>
          <w:p w:rsidR="006357C5" w:rsidRPr="00DC71B4" w:rsidRDefault="006357C5" w:rsidP="002554CF">
            <w:pPr>
              <w:spacing w:line="240" w:lineRule="auto"/>
              <w:rPr>
                <w:sz w:val="18"/>
                <w:szCs w:val="18"/>
              </w:rPr>
            </w:pPr>
            <w:r w:rsidRPr="00DC71B4">
              <w:rPr>
                <w:sz w:val="18"/>
                <w:szCs w:val="18"/>
              </w:rPr>
              <w:t>40,644</w:t>
            </w:r>
          </w:p>
        </w:tc>
        <w:tc>
          <w:tcPr>
            <w:tcW w:w="0" w:type="auto"/>
            <w:vAlign w:val="center"/>
          </w:tcPr>
          <w:p w:rsidR="006357C5" w:rsidRPr="00DC71B4" w:rsidRDefault="006357C5" w:rsidP="002554CF">
            <w:pPr>
              <w:spacing w:line="240" w:lineRule="auto"/>
              <w:rPr>
                <w:sz w:val="18"/>
                <w:szCs w:val="18"/>
              </w:rPr>
            </w:pPr>
            <w:r w:rsidRPr="00DC71B4">
              <w:rPr>
                <w:sz w:val="18"/>
                <w:szCs w:val="18"/>
              </w:rPr>
              <w:t>0.34</w:t>
            </w:r>
          </w:p>
        </w:tc>
        <w:tc>
          <w:tcPr>
            <w:tcW w:w="0" w:type="auto"/>
          </w:tcPr>
          <w:p w:rsidR="006357C5" w:rsidRPr="00DC71B4" w:rsidRDefault="006357C5" w:rsidP="002554CF">
            <w:pPr>
              <w:spacing w:line="240" w:lineRule="auto"/>
              <w:rPr>
                <w:sz w:val="18"/>
                <w:szCs w:val="18"/>
              </w:rPr>
            </w:pPr>
            <w:r w:rsidRPr="00DC71B4">
              <w:rPr>
                <w:sz w:val="18"/>
                <w:szCs w:val="18"/>
              </w:rPr>
              <w:t>25.9</w:t>
            </w:r>
          </w:p>
        </w:tc>
        <w:tc>
          <w:tcPr>
            <w:tcW w:w="0" w:type="auto"/>
            <w:vAlign w:val="center"/>
          </w:tcPr>
          <w:p w:rsidR="006357C5" w:rsidRPr="00DC71B4" w:rsidRDefault="006357C5" w:rsidP="002554CF">
            <w:pPr>
              <w:spacing w:line="240" w:lineRule="auto"/>
              <w:rPr>
                <w:sz w:val="18"/>
                <w:szCs w:val="18"/>
              </w:rPr>
            </w:pPr>
            <w:r w:rsidRPr="00DC71B4">
              <w:rPr>
                <w:sz w:val="18"/>
                <w:szCs w:val="18"/>
              </w:rPr>
              <w:t>26.22</w:t>
            </w:r>
          </w:p>
        </w:tc>
        <w:tc>
          <w:tcPr>
            <w:tcW w:w="0" w:type="auto"/>
            <w:vAlign w:val="center"/>
          </w:tcPr>
          <w:p w:rsidR="006357C5" w:rsidRPr="00DC71B4" w:rsidRDefault="006357C5" w:rsidP="002554CF">
            <w:pPr>
              <w:spacing w:line="240" w:lineRule="auto"/>
              <w:rPr>
                <w:sz w:val="18"/>
                <w:szCs w:val="18"/>
              </w:rPr>
            </w:pPr>
            <w:r w:rsidRPr="00DC71B4">
              <w:rPr>
                <w:sz w:val="18"/>
                <w:szCs w:val="18"/>
              </w:rPr>
              <w:t>41,231</w:t>
            </w:r>
          </w:p>
        </w:tc>
        <w:tc>
          <w:tcPr>
            <w:tcW w:w="0" w:type="auto"/>
            <w:vAlign w:val="center"/>
          </w:tcPr>
          <w:p w:rsidR="006357C5" w:rsidRPr="00DC71B4" w:rsidRDefault="006357C5" w:rsidP="002554CF">
            <w:pPr>
              <w:spacing w:line="240" w:lineRule="auto"/>
              <w:rPr>
                <w:sz w:val="18"/>
                <w:szCs w:val="18"/>
              </w:rPr>
            </w:pPr>
            <w:r w:rsidRPr="00DC71B4">
              <w:rPr>
                <w:sz w:val="18"/>
                <w:szCs w:val="18"/>
              </w:rPr>
              <w:t>16.01</w:t>
            </w:r>
          </w:p>
        </w:tc>
        <w:tc>
          <w:tcPr>
            <w:tcW w:w="684" w:type="dxa"/>
            <w:vAlign w:val="center"/>
          </w:tcPr>
          <w:p w:rsidR="006357C5" w:rsidRPr="00DC71B4" w:rsidRDefault="006357C5" w:rsidP="002554CF">
            <w:pPr>
              <w:spacing w:line="240" w:lineRule="auto"/>
              <w:rPr>
                <w:sz w:val="18"/>
                <w:szCs w:val="18"/>
              </w:rPr>
            </w:pPr>
            <w:r w:rsidRPr="00DC71B4">
              <w:rPr>
                <w:sz w:val="18"/>
                <w:szCs w:val="18"/>
              </w:rPr>
              <w:t>0.67</w:t>
            </w:r>
          </w:p>
        </w:tc>
        <w:tc>
          <w:tcPr>
            <w:tcW w:w="686" w:type="dxa"/>
            <w:vAlign w:val="center"/>
          </w:tcPr>
          <w:p w:rsidR="006357C5" w:rsidRPr="00DC71B4" w:rsidRDefault="006357C5" w:rsidP="002554CF">
            <w:pPr>
              <w:spacing w:line="240" w:lineRule="auto"/>
              <w:rPr>
                <w:sz w:val="18"/>
                <w:szCs w:val="18"/>
              </w:rPr>
            </w:pPr>
            <w:r w:rsidRPr="00DC71B4">
              <w:rPr>
                <w:sz w:val="18"/>
                <w:szCs w:val="18"/>
              </w:rPr>
              <w:t>0.82</w:t>
            </w:r>
          </w:p>
        </w:tc>
        <w:tc>
          <w:tcPr>
            <w:tcW w:w="781" w:type="dxa"/>
            <w:vAlign w:val="center"/>
          </w:tcPr>
          <w:p w:rsidR="006357C5" w:rsidRPr="00DC71B4" w:rsidRDefault="006357C5" w:rsidP="002554CF">
            <w:pPr>
              <w:spacing w:line="240" w:lineRule="auto"/>
              <w:rPr>
                <w:sz w:val="18"/>
                <w:szCs w:val="18"/>
              </w:rPr>
            </w:pPr>
            <w:r w:rsidRPr="00DC71B4">
              <w:rPr>
                <w:sz w:val="18"/>
                <w:szCs w:val="18"/>
              </w:rPr>
              <w:t>44.78</w:t>
            </w:r>
          </w:p>
        </w:tc>
        <w:tc>
          <w:tcPr>
            <w:tcW w:w="669" w:type="dxa"/>
            <w:vAlign w:val="center"/>
          </w:tcPr>
          <w:p w:rsidR="006357C5" w:rsidRPr="00DC71B4" w:rsidRDefault="006357C5" w:rsidP="002554CF">
            <w:pPr>
              <w:spacing w:line="240" w:lineRule="auto"/>
              <w:rPr>
                <w:sz w:val="18"/>
                <w:szCs w:val="18"/>
              </w:rPr>
            </w:pPr>
            <w:r w:rsidRPr="00DC71B4">
              <w:rPr>
                <w:sz w:val="18"/>
                <w:szCs w:val="18"/>
              </w:rPr>
              <w:t>1.20</w:t>
            </w:r>
          </w:p>
        </w:tc>
        <w:tc>
          <w:tcPr>
            <w:tcW w:w="789" w:type="dxa"/>
            <w:vAlign w:val="center"/>
          </w:tcPr>
          <w:p w:rsidR="006357C5" w:rsidRPr="00DC71B4" w:rsidRDefault="006357C5" w:rsidP="002554CF">
            <w:pPr>
              <w:spacing w:line="240" w:lineRule="auto"/>
              <w:rPr>
                <w:sz w:val="18"/>
                <w:szCs w:val="18"/>
              </w:rPr>
            </w:pPr>
            <w:r w:rsidRPr="00DC71B4">
              <w:rPr>
                <w:sz w:val="18"/>
                <w:szCs w:val="18"/>
              </w:rPr>
              <w:t>1.13</w:t>
            </w:r>
          </w:p>
        </w:tc>
        <w:tc>
          <w:tcPr>
            <w:tcW w:w="847" w:type="dxa"/>
            <w:vAlign w:val="center"/>
          </w:tcPr>
          <w:p w:rsidR="006357C5" w:rsidRPr="00DC71B4" w:rsidRDefault="006357C5" w:rsidP="002554CF">
            <w:pPr>
              <w:spacing w:line="240" w:lineRule="auto"/>
              <w:rPr>
                <w:sz w:val="18"/>
                <w:szCs w:val="18"/>
              </w:rPr>
            </w:pPr>
            <w:r w:rsidRPr="00DC71B4">
              <w:rPr>
                <w:sz w:val="18"/>
                <w:szCs w:val="18"/>
              </w:rPr>
              <w:t>0.07</w:t>
            </w:r>
          </w:p>
        </w:tc>
        <w:tc>
          <w:tcPr>
            <w:tcW w:w="917" w:type="dxa"/>
            <w:vAlign w:val="center"/>
          </w:tcPr>
          <w:p w:rsidR="006357C5" w:rsidRPr="00DC71B4" w:rsidRDefault="006357C5" w:rsidP="002554CF">
            <w:pPr>
              <w:spacing w:line="240" w:lineRule="auto"/>
              <w:rPr>
                <w:sz w:val="18"/>
                <w:szCs w:val="18"/>
              </w:rPr>
            </w:pPr>
            <w:r w:rsidRPr="00DC71B4">
              <w:rPr>
                <w:sz w:val="18"/>
                <w:szCs w:val="18"/>
              </w:rPr>
              <w:t>81.2</w:t>
            </w:r>
          </w:p>
        </w:tc>
        <w:tc>
          <w:tcPr>
            <w:tcW w:w="680" w:type="dxa"/>
            <w:vAlign w:val="center"/>
          </w:tcPr>
          <w:p w:rsidR="006357C5" w:rsidRPr="00DC71B4" w:rsidRDefault="006357C5" w:rsidP="002554CF">
            <w:pPr>
              <w:spacing w:line="240" w:lineRule="auto"/>
              <w:rPr>
                <w:sz w:val="18"/>
                <w:szCs w:val="18"/>
              </w:rPr>
            </w:pPr>
            <w:r w:rsidRPr="00DC71B4">
              <w:rPr>
                <w:sz w:val="18"/>
                <w:szCs w:val="18"/>
              </w:rPr>
              <w:t>21.3</w:t>
            </w:r>
          </w:p>
        </w:tc>
        <w:tc>
          <w:tcPr>
            <w:tcW w:w="847" w:type="dxa"/>
            <w:vAlign w:val="center"/>
          </w:tcPr>
          <w:p w:rsidR="006357C5" w:rsidRPr="00DC71B4" w:rsidRDefault="006357C5" w:rsidP="002554CF">
            <w:pPr>
              <w:spacing w:line="240" w:lineRule="auto"/>
              <w:rPr>
                <w:sz w:val="18"/>
                <w:szCs w:val="18"/>
              </w:rPr>
            </w:pPr>
            <w:r w:rsidRPr="00DC71B4">
              <w:rPr>
                <w:sz w:val="18"/>
                <w:szCs w:val="18"/>
              </w:rPr>
              <w:t>10.6</w:t>
            </w:r>
          </w:p>
        </w:tc>
        <w:tc>
          <w:tcPr>
            <w:tcW w:w="1057" w:type="dxa"/>
            <w:vAlign w:val="center"/>
          </w:tcPr>
          <w:p w:rsidR="006357C5" w:rsidRPr="00DC71B4" w:rsidRDefault="006357C5" w:rsidP="002554CF">
            <w:pPr>
              <w:spacing w:line="240" w:lineRule="auto"/>
              <w:rPr>
                <w:sz w:val="18"/>
                <w:szCs w:val="18"/>
              </w:rPr>
            </w:pPr>
            <w:r w:rsidRPr="00DC71B4">
              <w:rPr>
                <w:sz w:val="18"/>
                <w:szCs w:val="18"/>
              </w:rPr>
              <w:t>31.9</w:t>
            </w:r>
          </w:p>
        </w:tc>
      </w:tr>
      <w:tr w:rsidR="006357C5" w:rsidRPr="00DC71B4" w:rsidTr="002554CF">
        <w:trPr>
          <w:jc w:val="center"/>
        </w:trPr>
        <w:tc>
          <w:tcPr>
            <w:tcW w:w="1749" w:type="dxa"/>
            <w:vAlign w:val="center"/>
          </w:tcPr>
          <w:p w:rsidR="006357C5" w:rsidRPr="00DC71B4" w:rsidRDefault="006357C5" w:rsidP="002554CF">
            <w:pPr>
              <w:spacing w:line="240" w:lineRule="auto"/>
              <w:rPr>
                <w:b/>
                <w:bCs/>
                <w:sz w:val="18"/>
                <w:szCs w:val="18"/>
              </w:rPr>
            </w:pPr>
            <w:r w:rsidRPr="00DC71B4">
              <w:rPr>
                <w:b/>
                <w:bCs/>
                <w:sz w:val="18"/>
                <w:szCs w:val="18"/>
              </w:rPr>
              <w:t>New Zealand</w:t>
            </w:r>
          </w:p>
        </w:tc>
        <w:tc>
          <w:tcPr>
            <w:tcW w:w="0" w:type="auto"/>
            <w:vAlign w:val="center"/>
          </w:tcPr>
          <w:p w:rsidR="006357C5" w:rsidRPr="00DC71B4" w:rsidRDefault="006357C5" w:rsidP="002554CF">
            <w:pPr>
              <w:spacing w:line="240" w:lineRule="auto"/>
              <w:rPr>
                <w:sz w:val="18"/>
                <w:szCs w:val="18"/>
              </w:rPr>
            </w:pPr>
            <w:r w:rsidRPr="00DC71B4">
              <w:rPr>
                <w:sz w:val="18"/>
                <w:szCs w:val="18"/>
              </w:rPr>
              <w:t>4.4</w:t>
            </w:r>
          </w:p>
        </w:tc>
        <w:tc>
          <w:tcPr>
            <w:tcW w:w="0" w:type="auto"/>
            <w:vAlign w:val="center"/>
          </w:tcPr>
          <w:p w:rsidR="006357C5" w:rsidRPr="00DC71B4" w:rsidRDefault="006357C5" w:rsidP="002554CF">
            <w:pPr>
              <w:spacing w:line="240" w:lineRule="auto"/>
              <w:rPr>
                <w:sz w:val="18"/>
                <w:szCs w:val="18"/>
              </w:rPr>
            </w:pPr>
            <w:r w:rsidRPr="00DC71B4">
              <w:rPr>
                <w:sz w:val="18"/>
                <w:szCs w:val="18"/>
              </w:rPr>
              <w:t>29,813</w:t>
            </w:r>
          </w:p>
        </w:tc>
        <w:tc>
          <w:tcPr>
            <w:tcW w:w="0" w:type="auto"/>
            <w:vAlign w:val="center"/>
          </w:tcPr>
          <w:p w:rsidR="006357C5" w:rsidRPr="00DC71B4" w:rsidRDefault="006357C5" w:rsidP="002554CF">
            <w:pPr>
              <w:spacing w:line="240" w:lineRule="auto"/>
              <w:rPr>
                <w:sz w:val="18"/>
                <w:szCs w:val="18"/>
              </w:rPr>
            </w:pPr>
            <w:r w:rsidRPr="00DC71B4">
              <w:rPr>
                <w:sz w:val="18"/>
                <w:szCs w:val="18"/>
              </w:rPr>
              <w:t>0.33</w:t>
            </w:r>
          </w:p>
        </w:tc>
        <w:tc>
          <w:tcPr>
            <w:tcW w:w="0" w:type="auto"/>
          </w:tcPr>
          <w:p w:rsidR="006357C5" w:rsidRPr="00DC71B4" w:rsidRDefault="006357C5" w:rsidP="002554CF">
            <w:pPr>
              <w:spacing w:line="240" w:lineRule="auto"/>
              <w:rPr>
                <w:sz w:val="18"/>
                <w:szCs w:val="18"/>
              </w:rPr>
            </w:pPr>
            <w:r w:rsidRPr="00DC71B4">
              <w:rPr>
                <w:sz w:val="18"/>
                <w:szCs w:val="18"/>
              </w:rPr>
              <w:t>31.3</w:t>
            </w:r>
          </w:p>
        </w:tc>
        <w:tc>
          <w:tcPr>
            <w:tcW w:w="0" w:type="auto"/>
            <w:vAlign w:val="center"/>
          </w:tcPr>
          <w:p w:rsidR="006357C5" w:rsidRPr="00DC71B4" w:rsidRDefault="006357C5" w:rsidP="002554CF">
            <w:pPr>
              <w:spacing w:line="240" w:lineRule="auto"/>
              <w:rPr>
                <w:sz w:val="18"/>
                <w:szCs w:val="18"/>
              </w:rPr>
            </w:pPr>
            <w:r w:rsidRPr="00DC71B4">
              <w:rPr>
                <w:sz w:val="18"/>
                <w:szCs w:val="18"/>
              </w:rPr>
              <w:t>16.88</w:t>
            </w:r>
          </w:p>
        </w:tc>
        <w:tc>
          <w:tcPr>
            <w:tcW w:w="0" w:type="auto"/>
            <w:vAlign w:val="center"/>
          </w:tcPr>
          <w:p w:rsidR="006357C5" w:rsidRPr="00DC71B4" w:rsidRDefault="006357C5" w:rsidP="002554CF">
            <w:pPr>
              <w:spacing w:line="240" w:lineRule="auto"/>
              <w:rPr>
                <w:sz w:val="18"/>
                <w:szCs w:val="18"/>
              </w:rPr>
            </w:pPr>
            <w:r w:rsidRPr="00DC71B4">
              <w:rPr>
                <w:sz w:val="18"/>
                <w:szCs w:val="18"/>
              </w:rPr>
              <w:t>31,152</w:t>
            </w:r>
          </w:p>
        </w:tc>
        <w:tc>
          <w:tcPr>
            <w:tcW w:w="0" w:type="auto"/>
            <w:vAlign w:val="center"/>
          </w:tcPr>
          <w:p w:rsidR="006357C5" w:rsidRPr="00DC71B4" w:rsidRDefault="006357C5" w:rsidP="002554CF">
            <w:pPr>
              <w:spacing w:line="240" w:lineRule="auto"/>
              <w:rPr>
                <w:sz w:val="18"/>
                <w:szCs w:val="18"/>
              </w:rPr>
            </w:pPr>
            <w:r w:rsidRPr="00DC71B4">
              <w:rPr>
                <w:sz w:val="18"/>
                <w:szCs w:val="18"/>
              </w:rPr>
              <w:t>18.39</w:t>
            </w:r>
          </w:p>
        </w:tc>
        <w:tc>
          <w:tcPr>
            <w:tcW w:w="684" w:type="dxa"/>
            <w:vAlign w:val="center"/>
          </w:tcPr>
          <w:p w:rsidR="006357C5" w:rsidRPr="00DC71B4" w:rsidRDefault="006357C5" w:rsidP="002554CF">
            <w:pPr>
              <w:spacing w:line="240" w:lineRule="auto"/>
              <w:rPr>
                <w:sz w:val="18"/>
                <w:szCs w:val="18"/>
              </w:rPr>
            </w:pPr>
            <w:r w:rsidRPr="00DC71B4">
              <w:rPr>
                <w:sz w:val="18"/>
                <w:szCs w:val="18"/>
              </w:rPr>
              <w:t>1.12</w:t>
            </w:r>
          </w:p>
        </w:tc>
        <w:tc>
          <w:tcPr>
            <w:tcW w:w="686" w:type="dxa"/>
            <w:vAlign w:val="center"/>
          </w:tcPr>
          <w:p w:rsidR="006357C5" w:rsidRPr="00DC71B4" w:rsidRDefault="006357C5" w:rsidP="002554CF">
            <w:pPr>
              <w:spacing w:line="240" w:lineRule="auto"/>
              <w:rPr>
                <w:sz w:val="18"/>
                <w:szCs w:val="18"/>
              </w:rPr>
            </w:pPr>
            <w:r w:rsidRPr="00DC71B4">
              <w:rPr>
                <w:sz w:val="18"/>
                <w:szCs w:val="18"/>
              </w:rPr>
              <w:t>0.47</w:t>
            </w:r>
          </w:p>
        </w:tc>
        <w:tc>
          <w:tcPr>
            <w:tcW w:w="781" w:type="dxa"/>
            <w:vAlign w:val="center"/>
          </w:tcPr>
          <w:p w:rsidR="006357C5" w:rsidRPr="00DC71B4" w:rsidRDefault="006357C5" w:rsidP="002554CF">
            <w:pPr>
              <w:spacing w:line="240" w:lineRule="auto"/>
              <w:rPr>
                <w:sz w:val="18"/>
                <w:szCs w:val="18"/>
              </w:rPr>
            </w:pPr>
            <w:r w:rsidRPr="00DC71B4">
              <w:rPr>
                <w:sz w:val="18"/>
                <w:szCs w:val="18"/>
              </w:rPr>
              <w:t>46.74</w:t>
            </w:r>
          </w:p>
        </w:tc>
        <w:tc>
          <w:tcPr>
            <w:tcW w:w="669" w:type="dxa"/>
            <w:vAlign w:val="center"/>
          </w:tcPr>
          <w:p w:rsidR="006357C5" w:rsidRPr="00DC71B4" w:rsidRDefault="006357C5" w:rsidP="002554CF">
            <w:pPr>
              <w:spacing w:line="240" w:lineRule="auto"/>
              <w:rPr>
                <w:sz w:val="18"/>
                <w:szCs w:val="18"/>
              </w:rPr>
            </w:pPr>
            <w:r w:rsidRPr="00DC71B4">
              <w:rPr>
                <w:sz w:val="18"/>
                <w:szCs w:val="18"/>
              </w:rPr>
              <w:t>0.26</w:t>
            </w:r>
          </w:p>
        </w:tc>
        <w:tc>
          <w:tcPr>
            <w:tcW w:w="789" w:type="dxa"/>
            <w:vAlign w:val="center"/>
          </w:tcPr>
          <w:p w:rsidR="006357C5" w:rsidRPr="00DC71B4" w:rsidRDefault="006357C5" w:rsidP="002554CF">
            <w:pPr>
              <w:spacing w:line="240" w:lineRule="auto"/>
              <w:rPr>
                <w:sz w:val="18"/>
                <w:szCs w:val="18"/>
              </w:rPr>
            </w:pPr>
            <w:r w:rsidRPr="00DC71B4">
              <w:rPr>
                <w:sz w:val="18"/>
                <w:szCs w:val="18"/>
              </w:rPr>
              <w:t>0.23</w:t>
            </w:r>
          </w:p>
        </w:tc>
        <w:tc>
          <w:tcPr>
            <w:tcW w:w="847" w:type="dxa"/>
            <w:vAlign w:val="center"/>
          </w:tcPr>
          <w:p w:rsidR="006357C5" w:rsidRPr="00DC71B4" w:rsidRDefault="006357C5" w:rsidP="002554CF">
            <w:pPr>
              <w:spacing w:line="240" w:lineRule="auto"/>
              <w:rPr>
                <w:sz w:val="18"/>
                <w:szCs w:val="18"/>
              </w:rPr>
            </w:pPr>
            <w:r w:rsidRPr="00DC71B4">
              <w:rPr>
                <w:sz w:val="18"/>
                <w:szCs w:val="18"/>
              </w:rPr>
              <w:t>0.03</w:t>
            </w:r>
          </w:p>
        </w:tc>
        <w:tc>
          <w:tcPr>
            <w:tcW w:w="917" w:type="dxa"/>
            <w:vAlign w:val="center"/>
          </w:tcPr>
          <w:p w:rsidR="006357C5" w:rsidRPr="00DC71B4" w:rsidRDefault="006357C5" w:rsidP="002554CF">
            <w:pPr>
              <w:spacing w:line="240" w:lineRule="auto"/>
              <w:rPr>
                <w:sz w:val="18"/>
                <w:szCs w:val="18"/>
              </w:rPr>
            </w:pPr>
            <w:r w:rsidRPr="00DC71B4">
              <w:rPr>
                <w:sz w:val="18"/>
                <w:szCs w:val="18"/>
              </w:rPr>
              <w:t>90</w:t>
            </w:r>
          </w:p>
        </w:tc>
        <w:tc>
          <w:tcPr>
            <w:tcW w:w="680" w:type="dxa"/>
            <w:vAlign w:val="center"/>
          </w:tcPr>
          <w:p w:rsidR="006357C5" w:rsidRPr="00DC71B4" w:rsidRDefault="006357C5" w:rsidP="002554CF">
            <w:pPr>
              <w:spacing w:line="240" w:lineRule="auto"/>
              <w:rPr>
                <w:sz w:val="18"/>
                <w:szCs w:val="18"/>
              </w:rPr>
            </w:pPr>
            <w:r w:rsidRPr="00DC71B4">
              <w:rPr>
                <w:sz w:val="18"/>
                <w:szCs w:val="18"/>
              </w:rPr>
              <w:t>30.9</w:t>
            </w:r>
          </w:p>
        </w:tc>
        <w:tc>
          <w:tcPr>
            <w:tcW w:w="847" w:type="dxa"/>
            <w:vAlign w:val="center"/>
          </w:tcPr>
          <w:p w:rsidR="006357C5" w:rsidRPr="00DC71B4" w:rsidRDefault="006357C5" w:rsidP="002554CF">
            <w:pPr>
              <w:spacing w:line="240" w:lineRule="auto"/>
              <w:rPr>
                <w:sz w:val="18"/>
                <w:szCs w:val="18"/>
              </w:rPr>
            </w:pPr>
            <w:r w:rsidRPr="00DC71B4">
              <w:rPr>
                <w:sz w:val="18"/>
                <w:szCs w:val="18"/>
              </w:rPr>
              <w:t>10.7</w:t>
            </w:r>
          </w:p>
        </w:tc>
        <w:tc>
          <w:tcPr>
            <w:tcW w:w="1057" w:type="dxa"/>
            <w:vAlign w:val="center"/>
          </w:tcPr>
          <w:p w:rsidR="006357C5" w:rsidRPr="00DC71B4" w:rsidRDefault="006357C5" w:rsidP="002554CF">
            <w:pPr>
              <w:spacing w:line="240" w:lineRule="auto"/>
              <w:rPr>
                <w:sz w:val="18"/>
                <w:szCs w:val="18"/>
              </w:rPr>
            </w:pPr>
            <w:r w:rsidRPr="00DC71B4">
              <w:rPr>
                <w:sz w:val="18"/>
                <w:szCs w:val="18"/>
              </w:rPr>
              <w:t>41.6</w:t>
            </w:r>
          </w:p>
        </w:tc>
      </w:tr>
      <w:tr w:rsidR="006357C5" w:rsidRPr="00DC71B4" w:rsidTr="002554CF">
        <w:trPr>
          <w:jc w:val="center"/>
        </w:trPr>
        <w:tc>
          <w:tcPr>
            <w:tcW w:w="1749" w:type="dxa"/>
            <w:vAlign w:val="center"/>
          </w:tcPr>
          <w:p w:rsidR="006357C5" w:rsidRPr="00DC71B4" w:rsidRDefault="006357C5" w:rsidP="002554CF">
            <w:pPr>
              <w:spacing w:line="240" w:lineRule="auto"/>
              <w:rPr>
                <w:b/>
                <w:bCs/>
                <w:sz w:val="18"/>
                <w:szCs w:val="18"/>
              </w:rPr>
            </w:pPr>
            <w:r w:rsidRPr="00DC71B4">
              <w:rPr>
                <w:b/>
                <w:bCs/>
                <w:sz w:val="18"/>
                <w:szCs w:val="18"/>
              </w:rPr>
              <w:t>United Kingdom</w:t>
            </w:r>
          </w:p>
        </w:tc>
        <w:tc>
          <w:tcPr>
            <w:tcW w:w="0" w:type="auto"/>
            <w:vAlign w:val="center"/>
          </w:tcPr>
          <w:p w:rsidR="006357C5" w:rsidRPr="00DC71B4" w:rsidRDefault="006357C5" w:rsidP="002554CF">
            <w:pPr>
              <w:spacing w:line="240" w:lineRule="auto"/>
              <w:rPr>
                <w:sz w:val="18"/>
                <w:szCs w:val="18"/>
              </w:rPr>
            </w:pPr>
            <w:r w:rsidRPr="00DC71B4">
              <w:rPr>
                <w:sz w:val="18"/>
                <w:szCs w:val="18"/>
              </w:rPr>
              <w:t>61.35</w:t>
            </w:r>
          </w:p>
        </w:tc>
        <w:tc>
          <w:tcPr>
            <w:tcW w:w="0" w:type="auto"/>
            <w:vAlign w:val="center"/>
          </w:tcPr>
          <w:p w:rsidR="006357C5" w:rsidRPr="00DC71B4" w:rsidRDefault="006357C5" w:rsidP="002554CF">
            <w:pPr>
              <w:spacing w:line="240" w:lineRule="auto"/>
              <w:rPr>
                <w:sz w:val="18"/>
                <w:szCs w:val="18"/>
              </w:rPr>
            </w:pPr>
            <w:r w:rsidRPr="00DC71B4">
              <w:rPr>
                <w:sz w:val="18"/>
                <w:szCs w:val="18"/>
              </w:rPr>
              <w:t>35,151</w:t>
            </w:r>
          </w:p>
        </w:tc>
        <w:tc>
          <w:tcPr>
            <w:tcW w:w="0" w:type="auto"/>
            <w:vAlign w:val="center"/>
          </w:tcPr>
          <w:p w:rsidR="006357C5" w:rsidRPr="00DC71B4" w:rsidRDefault="006357C5" w:rsidP="002554CF">
            <w:pPr>
              <w:spacing w:line="240" w:lineRule="auto"/>
              <w:rPr>
                <w:sz w:val="18"/>
                <w:szCs w:val="18"/>
              </w:rPr>
            </w:pPr>
            <w:r w:rsidRPr="00DC71B4">
              <w:rPr>
                <w:sz w:val="18"/>
                <w:szCs w:val="18"/>
              </w:rPr>
              <w:t>0.35</w:t>
            </w:r>
          </w:p>
        </w:tc>
        <w:tc>
          <w:tcPr>
            <w:tcW w:w="0" w:type="auto"/>
          </w:tcPr>
          <w:p w:rsidR="006357C5" w:rsidRPr="00DC71B4" w:rsidRDefault="006357C5" w:rsidP="002554CF">
            <w:pPr>
              <w:spacing w:line="240" w:lineRule="auto"/>
              <w:rPr>
                <w:sz w:val="18"/>
                <w:szCs w:val="18"/>
              </w:rPr>
            </w:pPr>
            <w:r w:rsidRPr="00DC71B4">
              <w:rPr>
                <w:sz w:val="18"/>
                <w:szCs w:val="18"/>
              </w:rPr>
              <w:t>35.0</w:t>
            </w:r>
          </w:p>
        </w:tc>
        <w:tc>
          <w:tcPr>
            <w:tcW w:w="0" w:type="auto"/>
            <w:vAlign w:val="center"/>
          </w:tcPr>
          <w:p w:rsidR="006357C5" w:rsidRPr="00DC71B4" w:rsidRDefault="006357C5" w:rsidP="002554CF">
            <w:pPr>
              <w:spacing w:line="240" w:lineRule="auto"/>
              <w:rPr>
                <w:sz w:val="18"/>
                <w:szCs w:val="18"/>
              </w:rPr>
            </w:pPr>
            <w:r w:rsidRPr="00DC71B4">
              <w:rPr>
                <w:sz w:val="18"/>
                <w:szCs w:val="18"/>
              </w:rPr>
              <w:t>32.75</w:t>
            </w:r>
          </w:p>
        </w:tc>
        <w:tc>
          <w:tcPr>
            <w:tcW w:w="0" w:type="auto"/>
            <w:vAlign w:val="center"/>
          </w:tcPr>
          <w:p w:rsidR="006357C5" w:rsidRPr="00DC71B4" w:rsidRDefault="006357C5" w:rsidP="002554CF">
            <w:pPr>
              <w:spacing w:line="240" w:lineRule="auto"/>
              <w:rPr>
                <w:sz w:val="18"/>
                <w:szCs w:val="18"/>
              </w:rPr>
            </w:pPr>
            <w:r w:rsidRPr="00DC71B4">
              <w:rPr>
                <w:sz w:val="18"/>
                <w:szCs w:val="18"/>
              </w:rPr>
              <w:t>53,623</w:t>
            </w:r>
          </w:p>
        </w:tc>
        <w:tc>
          <w:tcPr>
            <w:tcW w:w="0" w:type="auto"/>
            <w:vAlign w:val="center"/>
          </w:tcPr>
          <w:p w:rsidR="006357C5" w:rsidRPr="00DC71B4" w:rsidRDefault="006357C5" w:rsidP="002554CF">
            <w:pPr>
              <w:spacing w:line="240" w:lineRule="auto"/>
              <w:rPr>
                <w:sz w:val="18"/>
                <w:szCs w:val="18"/>
              </w:rPr>
            </w:pPr>
            <w:r w:rsidRPr="00DC71B4">
              <w:rPr>
                <w:sz w:val="18"/>
                <w:szCs w:val="18"/>
              </w:rPr>
              <w:t>20.54</w:t>
            </w:r>
          </w:p>
        </w:tc>
        <w:tc>
          <w:tcPr>
            <w:tcW w:w="684" w:type="dxa"/>
            <w:vAlign w:val="center"/>
          </w:tcPr>
          <w:p w:rsidR="006357C5" w:rsidRPr="00DC71B4" w:rsidRDefault="006357C5" w:rsidP="002554CF">
            <w:pPr>
              <w:spacing w:line="240" w:lineRule="auto"/>
              <w:rPr>
                <w:sz w:val="18"/>
                <w:szCs w:val="18"/>
              </w:rPr>
            </w:pPr>
            <w:r w:rsidRPr="00DC71B4">
              <w:rPr>
                <w:sz w:val="18"/>
                <w:szCs w:val="18"/>
              </w:rPr>
              <w:t>0.63</w:t>
            </w:r>
          </w:p>
        </w:tc>
        <w:tc>
          <w:tcPr>
            <w:tcW w:w="686" w:type="dxa"/>
            <w:vAlign w:val="center"/>
          </w:tcPr>
          <w:p w:rsidR="006357C5" w:rsidRPr="00DC71B4" w:rsidRDefault="006357C5" w:rsidP="002554CF">
            <w:pPr>
              <w:spacing w:line="240" w:lineRule="auto"/>
              <w:rPr>
                <w:sz w:val="18"/>
                <w:szCs w:val="18"/>
              </w:rPr>
            </w:pPr>
            <w:r w:rsidRPr="00DC71B4">
              <w:rPr>
                <w:sz w:val="18"/>
                <w:szCs w:val="18"/>
              </w:rPr>
              <w:t>0.56</w:t>
            </w:r>
          </w:p>
        </w:tc>
        <w:tc>
          <w:tcPr>
            <w:tcW w:w="781" w:type="dxa"/>
            <w:vAlign w:val="center"/>
          </w:tcPr>
          <w:p w:rsidR="006357C5" w:rsidRPr="00DC71B4" w:rsidRDefault="006357C5" w:rsidP="002554CF">
            <w:pPr>
              <w:spacing w:line="240" w:lineRule="auto"/>
              <w:rPr>
                <w:sz w:val="18"/>
                <w:szCs w:val="18"/>
              </w:rPr>
            </w:pPr>
            <w:r w:rsidRPr="00DC71B4">
              <w:rPr>
                <w:sz w:val="18"/>
                <w:szCs w:val="18"/>
              </w:rPr>
              <w:t>44.86</w:t>
            </w:r>
          </w:p>
        </w:tc>
        <w:tc>
          <w:tcPr>
            <w:tcW w:w="669" w:type="dxa"/>
            <w:vAlign w:val="center"/>
          </w:tcPr>
          <w:p w:rsidR="006357C5" w:rsidRPr="00DC71B4" w:rsidRDefault="006357C5" w:rsidP="002554CF">
            <w:pPr>
              <w:spacing w:line="240" w:lineRule="auto"/>
              <w:rPr>
                <w:sz w:val="18"/>
                <w:szCs w:val="18"/>
              </w:rPr>
            </w:pPr>
            <w:r w:rsidRPr="00DC71B4">
              <w:rPr>
                <w:sz w:val="18"/>
                <w:szCs w:val="18"/>
              </w:rPr>
              <w:t>2.41</w:t>
            </w:r>
          </w:p>
        </w:tc>
        <w:tc>
          <w:tcPr>
            <w:tcW w:w="789" w:type="dxa"/>
            <w:vAlign w:val="center"/>
          </w:tcPr>
          <w:p w:rsidR="006357C5" w:rsidRPr="00DC71B4" w:rsidRDefault="006357C5" w:rsidP="002554CF">
            <w:pPr>
              <w:spacing w:line="240" w:lineRule="auto"/>
              <w:rPr>
                <w:sz w:val="18"/>
                <w:szCs w:val="18"/>
              </w:rPr>
            </w:pPr>
            <w:r w:rsidRPr="00DC71B4">
              <w:rPr>
                <w:sz w:val="18"/>
                <w:szCs w:val="18"/>
              </w:rPr>
              <w:t>0</w:t>
            </w:r>
          </w:p>
        </w:tc>
        <w:tc>
          <w:tcPr>
            <w:tcW w:w="847" w:type="dxa"/>
            <w:vAlign w:val="center"/>
          </w:tcPr>
          <w:p w:rsidR="006357C5" w:rsidRPr="00DC71B4" w:rsidRDefault="006357C5" w:rsidP="002554CF">
            <w:pPr>
              <w:spacing w:line="240" w:lineRule="auto"/>
              <w:rPr>
                <w:sz w:val="18"/>
                <w:szCs w:val="18"/>
              </w:rPr>
            </w:pPr>
            <w:r w:rsidRPr="00DC71B4">
              <w:rPr>
                <w:sz w:val="18"/>
                <w:szCs w:val="18"/>
              </w:rPr>
              <w:t>2.41</w:t>
            </w:r>
          </w:p>
        </w:tc>
        <w:tc>
          <w:tcPr>
            <w:tcW w:w="917" w:type="dxa"/>
            <w:vAlign w:val="center"/>
          </w:tcPr>
          <w:p w:rsidR="006357C5" w:rsidRPr="00DC71B4" w:rsidRDefault="006357C5" w:rsidP="002554CF">
            <w:pPr>
              <w:spacing w:line="240" w:lineRule="auto"/>
              <w:rPr>
                <w:sz w:val="18"/>
                <w:szCs w:val="18"/>
              </w:rPr>
            </w:pPr>
            <w:r w:rsidRPr="00DC71B4">
              <w:rPr>
                <w:sz w:val="18"/>
                <w:szCs w:val="18"/>
              </w:rPr>
              <w:t>94.5</w:t>
            </w:r>
          </w:p>
        </w:tc>
        <w:tc>
          <w:tcPr>
            <w:tcW w:w="680" w:type="dxa"/>
            <w:vAlign w:val="center"/>
          </w:tcPr>
          <w:p w:rsidR="006357C5" w:rsidRPr="00DC71B4" w:rsidRDefault="006357C5" w:rsidP="002554CF">
            <w:pPr>
              <w:spacing w:line="240" w:lineRule="auto"/>
              <w:rPr>
                <w:sz w:val="18"/>
                <w:szCs w:val="18"/>
              </w:rPr>
            </w:pPr>
            <w:r w:rsidRPr="00DC71B4">
              <w:rPr>
                <w:sz w:val="18"/>
                <w:szCs w:val="18"/>
              </w:rPr>
              <w:t>27.7</w:t>
            </w:r>
          </w:p>
        </w:tc>
        <w:tc>
          <w:tcPr>
            <w:tcW w:w="847" w:type="dxa"/>
            <w:vAlign w:val="center"/>
          </w:tcPr>
          <w:p w:rsidR="006357C5" w:rsidRPr="00DC71B4" w:rsidRDefault="006357C5" w:rsidP="002554CF">
            <w:pPr>
              <w:spacing w:line="240" w:lineRule="auto"/>
              <w:rPr>
                <w:sz w:val="18"/>
                <w:szCs w:val="18"/>
              </w:rPr>
            </w:pPr>
            <w:r w:rsidRPr="00DC71B4">
              <w:rPr>
                <w:sz w:val="18"/>
                <w:szCs w:val="18"/>
              </w:rPr>
              <w:t>3.5</w:t>
            </w:r>
          </w:p>
        </w:tc>
        <w:tc>
          <w:tcPr>
            <w:tcW w:w="1057" w:type="dxa"/>
            <w:vAlign w:val="center"/>
          </w:tcPr>
          <w:p w:rsidR="006357C5" w:rsidRPr="00DC71B4" w:rsidRDefault="006357C5" w:rsidP="002554CF">
            <w:pPr>
              <w:spacing w:line="240" w:lineRule="auto"/>
              <w:rPr>
                <w:sz w:val="18"/>
                <w:szCs w:val="18"/>
              </w:rPr>
            </w:pPr>
            <w:r w:rsidRPr="00DC71B4">
              <w:rPr>
                <w:sz w:val="18"/>
                <w:szCs w:val="18"/>
              </w:rPr>
              <w:t>31.2</w:t>
            </w:r>
          </w:p>
        </w:tc>
      </w:tr>
      <w:tr w:rsidR="006357C5" w:rsidRPr="00DC71B4" w:rsidTr="002554CF">
        <w:trPr>
          <w:jc w:val="center"/>
        </w:trPr>
        <w:tc>
          <w:tcPr>
            <w:tcW w:w="1749" w:type="dxa"/>
            <w:vAlign w:val="center"/>
          </w:tcPr>
          <w:p w:rsidR="006357C5" w:rsidRPr="00DC71B4" w:rsidRDefault="006357C5" w:rsidP="002554CF">
            <w:pPr>
              <w:spacing w:line="240" w:lineRule="auto"/>
              <w:rPr>
                <w:b/>
                <w:bCs/>
                <w:sz w:val="18"/>
                <w:szCs w:val="18"/>
              </w:rPr>
            </w:pPr>
            <w:r w:rsidRPr="00DC71B4">
              <w:rPr>
                <w:b/>
                <w:bCs/>
                <w:sz w:val="18"/>
                <w:szCs w:val="18"/>
              </w:rPr>
              <w:t>United States</w:t>
            </w:r>
          </w:p>
        </w:tc>
        <w:tc>
          <w:tcPr>
            <w:tcW w:w="0" w:type="auto"/>
            <w:vAlign w:val="center"/>
          </w:tcPr>
          <w:p w:rsidR="006357C5" w:rsidRPr="00DC71B4" w:rsidRDefault="006357C5" w:rsidP="002554CF">
            <w:pPr>
              <w:spacing w:line="240" w:lineRule="auto"/>
              <w:rPr>
                <w:sz w:val="18"/>
                <w:szCs w:val="18"/>
              </w:rPr>
            </w:pPr>
            <w:r w:rsidRPr="00DC71B4">
              <w:rPr>
                <w:sz w:val="18"/>
                <w:szCs w:val="18"/>
              </w:rPr>
              <w:t>309.1</w:t>
            </w:r>
          </w:p>
        </w:tc>
        <w:tc>
          <w:tcPr>
            <w:tcW w:w="0" w:type="auto"/>
            <w:vAlign w:val="center"/>
          </w:tcPr>
          <w:p w:rsidR="006357C5" w:rsidRPr="00DC71B4" w:rsidRDefault="006357C5" w:rsidP="002554CF">
            <w:pPr>
              <w:spacing w:line="240" w:lineRule="auto"/>
              <w:rPr>
                <w:sz w:val="18"/>
                <w:szCs w:val="18"/>
              </w:rPr>
            </w:pPr>
            <w:r w:rsidRPr="00DC71B4">
              <w:rPr>
                <w:sz w:val="18"/>
                <w:szCs w:val="18"/>
              </w:rPr>
              <w:t>47,024</w:t>
            </w:r>
          </w:p>
        </w:tc>
        <w:tc>
          <w:tcPr>
            <w:tcW w:w="0" w:type="auto"/>
            <w:vAlign w:val="center"/>
          </w:tcPr>
          <w:p w:rsidR="006357C5" w:rsidRPr="00DC71B4" w:rsidRDefault="006357C5" w:rsidP="002554CF">
            <w:pPr>
              <w:spacing w:line="240" w:lineRule="auto"/>
              <w:rPr>
                <w:sz w:val="18"/>
                <w:szCs w:val="18"/>
              </w:rPr>
            </w:pPr>
            <w:r w:rsidRPr="00DC71B4">
              <w:rPr>
                <w:sz w:val="18"/>
                <w:szCs w:val="18"/>
              </w:rPr>
              <w:t>0.38</w:t>
            </w:r>
          </w:p>
        </w:tc>
        <w:tc>
          <w:tcPr>
            <w:tcW w:w="0" w:type="auto"/>
          </w:tcPr>
          <w:p w:rsidR="006357C5" w:rsidRPr="00DC71B4" w:rsidRDefault="006357C5" w:rsidP="002554CF">
            <w:pPr>
              <w:spacing w:line="240" w:lineRule="auto"/>
              <w:rPr>
                <w:sz w:val="18"/>
                <w:szCs w:val="18"/>
              </w:rPr>
            </w:pPr>
            <w:r w:rsidRPr="00DC71B4">
              <w:rPr>
                <w:sz w:val="18"/>
                <w:szCs w:val="18"/>
              </w:rPr>
              <w:t>24.8</w:t>
            </w:r>
          </w:p>
        </w:tc>
        <w:tc>
          <w:tcPr>
            <w:tcW w:w="0" w:type="auto"/>
            <w:vAlign w:val="center"/>
          </w:tcPr>
          <w:p w:rsidR="006357C5" w:rsidRPr="00DC71B4" w:rsidRDefault="006357C5" w:rsidP="002554CF">
            <w:pPr>
              <w:spacing w:line="240" w:lineRule="auto"/>
              <w:rPr>
                <w:sz w:val="18"/>
                <w:szCs w:val="18"/>
              </w:rPr>
            </w:pPr>
            <w:r w:rsidRPr="00DC71B4">
              <w:rPr>
                <w:sz w:val="18"/>
                <w:szCs w:val="18"/>
              </w:rPr>
              <w:t>29.73</w:t>
            </w:r>
          </w:p>
        </w:tc>
        <w:tc>
          <w:tcPr>
            <w:tcW w:w="0" w:type="auto"/>
            <w:vAlign w:val="center"/>
          </w:tcPr>
          <w:p w:rsidR="006357C5" w:rsidRPr="00DC71B4" w:rsidRDefault="006357C5" w:rsidP="002554CF">
            <w:pPr>
              <w:spacing w:line="240" w:lineRule="auto"/>
              <w:rPr>
                <w:sz w:val="18"/>
                <w:szCs w:val="18"/>
              </w:rPr>
            </w:pPr>
            <w:r w:rsidRPr="00DC71B4">
              <w:rPr>
                <w:sz w:val="18"/>
                <w:szCs w:val="18"/>
              </w:rPr>
              <w:t>43,040</w:t>
            </w:r>
          </w:p>
        </w:tc>
        <w:tc>
          <w:tcPr>
            <w:tcW w:w="0" w:type="auto"/>
            <w:vAlign w:val="center"/>
          </w:tcPr>
          <w:p w:rsidR="006357C5" w:rsidRPr="00DC71B4" w:rsidRDefault="006357C5" w:rsidP="002554CF">
            <w:pPr>
              <w:spacing w:line="240" w:lineRule="auto"/>
              <w:rPr>
                <w:sz w:val="18"/>
                <w:szCs w:val="18"/>
              </w:rPr>
            </w:pPr>
            <w:r w:rsidRPr="00DC71B4">
              <w:rPr>
                <w:sz w:val="18"/>
                <w:szCs w:val="18"/>
              </w:rPr>
              <w:t>16.20</w:t>
            </w:r>
          </w:p>
        </w:tc>
        <w:tc>
          <w:tcPr>
            <w:tcW w:w="684" w:type="dxa"/>
            <w:vAlign w:val="center"/>
          </w:tcPr>
          <w:p w:rsidR="006357C5" w:rsidRPr="00DC71B4" w:rsidRDefault="006357C5" w:rsidP="002554CF">
            <w:pPr>
              <w:spacing w:line="240" w:lineRule="auto"/>
              <w:rPr>
                <w:sz w:val="18"/>
                <w:szCs w:val="18"/>
              </w:rPr>
            </w:pPr>
            <w:r w:rsidRPr="00DC71B4">
              <w:rPr>
                <w:sz w:val="18"/>
                <w:szCs w:val="18"/>
              </w:rPr>
              <w:t>1</w:t>
            </w:r>
          </w:p>
        </w:tc>
        <w:tc>
          <w:tcPr>
            <w:tcW w:w="686" w:type="dxa"/>
            <w:vAlign w:val="center"/>
          </w:tcPr>
          <w:p w:rsidR="006357C5" w:rsidRPr="00DC71B4" w:rsidRDefault="006357C5" w:rsidP="002554CF">
            <w:pPr>
              <w:spacing w:line="240" w:lineRule="auto"/>
              <w:rPr>
                <w:sz w:val="18"/>
                <w:szCs w:val="18"/>
              </w:rPr>
            </w:pPr>
            <w:r w:rsidRPr="00DC71B4">
              <w:rPr>
                <w:sz w:val="18"/>
                <w:szCs w:val="18"/>
              </w:rPr>
              <w:t>1.68</w:t>
            </w:r>
          </w:p>
        </w:tc>
        <w:tc>
          <w:tcPr>
            <w:tcW w:w="781" w:type="dxa"/>
            <w:vAlign w:val="center"/>
          </w:tcPr>
          <w:p w:rsidR="006357C5" w:rsidRPr="00DC71B4" w:rsidRDefault="006357C5" w:rsidP="002554CF">
            <w:pPr>
              <w:spacing w:line="240" w:lineRule="auto"/>
              <w:rPr>
                <w:sz w:val="18"/>
                <w:szCs w:val="18"/>
              </w:rPr>
            </w:pPr>
            <w:r w:rsidRPr="00DC71B4">
              <w:rPr>
                <w:sz w:val="18"/>
                <w:szCs w:val="18"/>
              </w:rPr>
              <w:t>41.06</w:t>
            </w:r>
          </w:p>
        </w:tc>
        <w:tc>
          <w:tcPr>
            <w:tcW w:w="669" w:type="dxa"/>
            <w:vAlign w:val="center"/>
          </w:tcPr>
          <w:p w:rsidR="006357C5" w:rsidRPr="00DC71B4" w:rsidRDefault="006357C5" w:rsidP="002554CF">
            <w:pPr>
              <w:spacing w:line="240" w:lineRule="auto"/>
              <w:rPr>
                <w:sz w:val="18"/>
                <w:szCs w:val="18"/>
              </w:rPr>
            </w:pPr>
            <w:r w:rsidRPr="00DC71B4">
              <w:rPr>
                <w:sz w:val="18"/>
                <w:szCs w:val="18"/>
              </w:rPr>
              <w:t>19.10</w:t>
            </w:r>
          </w:p>
        </w:tc>
        <w:tc>
          <w:tcPr>
            <w:tcW w:w="789" w:type="dxa"/>
            <w:vAlign w:val="center"/>
          </w:tcPr>
          <w:p w:rsidR="006357C5" w:rsidRPr="00DC71B4" w:rsidRDefault="006357C5" w:rsidP="002554CF">
            <w:pPr>
              <w:spacing w:line="240" w:lineRule="auto"/>
              <w:rPr>
                <w:sz w:val="18"/>
                <w:szCs w:val="18"/>
              </w:rPr>
            </w:pPr>
            <w:r w:rsidRPr="00DC71B4">
              <w:rPr>
                <w:sz w:val="18"/>
                <w:szCs w:val="18"/>
              </w:rPr>
              <w:t>13.97</w:t>
            </w:r>
          </w:p>
        </w:tc>
        <w:tc>
          <w:tcPr>
            <w:tcW w:w="847" w:type="dxa"/>
            <w:vAlign w:val="center"/>
          </w:tcPr>
          <w:p w:rsidR="006357C5" w:rsidRPr="00DC71B4" w:rsidRDefault="006357C5" w:rsidP="002554CF">
            <w:pPr>
              <w:spacing w:line="240" w:lineRule="auto"/>
              <w:rPr>
                <w:sz w:val="18"/>
                <w:szCs w:val="18"/>
              </w:rPr>
            </w:pPr>
            <w:r w:rsidRPr="00DC71B4">
              <w:rPr>
                <w:sz w:val="18"/>
                <w:szCs w:val="18"/>
              </w:rPr>
              <w:t>5.13</w:t>
            </w:r>
          </w:p>
        </w:tc>
        <w:tc>
          <w:tcPr>
            <w:tcW w:w="917" w:type="dxa"/>
            <w:vAlign w:val="center"/>
          </w:tcPr>
          <w:p w:rsidR="006357C5" w:rsidRPr="00DC71B4" w:rsidRDefault="006357C5" w:rsidP="002554CF">
            <w:pPr>
              <w:spacing w:line="240" w:lineRule="auto"/>
              <w:rPr>
                <w:sz w:val="18"/>
                <w:szCs w:val="18"/>
              </w:rPr>
            </w:pPr>
            <w:r w:rsidRPr="00DC71B4">
              <w:rPr>
                <w:sz w:val="18"/>
                <w:szCs w:val="18"/>
              </w:rPr>
              <w:t>76.5</w:t>
            </w:r>
          </w:p>
        </w:tc>
        <w:tc>
          <w:tcPr>
            <w:tcW w:w="680" w:type="dxa"/>
            <w:vAlign w:val="center"/>
          </w:tcPr>
          <w:p w:rsidR="006357C5" w:rsidRPr="00DC71B4" w:rsidRDefault="006357C5" w:rsidP="002554CF">
            <w:pPr>
              <w:spacing w:line="240" w:lineRule="auto"/>
              <w:rPr>
                <w:sz w:val="18"/>
                <w:szCs w:val="18"/>
              </w:rPr>
            </w:pPr>
            <w:r w:rsidRPr="00DC71B4">
              <w:rPr>
                <w:sz w:val="18"/>
                <w:szCs w:val="18"/>
              </w:rPr>
              <w:t>4.8</w:t>
            </w:r>
          </w:p>
        </w:tc>
        <w:tc>
          <w:tcPr>
            <w:tcW w:w="847" w:type="dxa"/>
            <w:vAlign w:val="center"/>
          </w:tcPr>
          <w:p w:rsidR="006357C5" w:rsidRPr="00DC71B4" w:rsidRDefault="006357C5" w:rsidP="002554CF">
            <w:pPr>
              <w:spacing w:line="240" w:lineRule="auto"/>
              <w:rPr>
                <w:sz w:val="18"/>
                <w:szCs w:val="18"/>
              </w:rPr>
            </w:pPr>
            <w:r w:rsidRPr="00DC71B4">
              <w:rPr>
                <w:sz w:val="18"/>
                <w:szCs w:val="18"/>
              </w:rPr>
              <w:t>15.5</w:t>
            </w:r>
          </w:p>
        </w:tc>
        <w:tc>
          <w:tcPr>
            <w:tcW w:w="1057" w:type="dxa"/>
            <w:vAlign w:val="center"/>
          </w:tcPr>
          <w:p w:rsidR="006357C5" w:rsidRPr="00DC71B4" w:rsidRDefault="006357C5" w:rsidP="002554CF">
            <w:pPr>
              <w:spacing w:line="240" w:lineRule="auto"/>
              <w:rPr>
                <w:sz w:val="18"/>
                <w:szCs w:val="18"/>
              </w:rPr>
            </w:pPr>
            <w:r w:rsidRPr="00DC71B4">
              <w:rPr>
                <w:sz w:val="18"/>
                <w:szCs w:val="18"/>
              </w:rPr>
              <w:t>20.3</w:t>
            </w:r>
          </w:p>
        </w:tc>
      </w:tr>
      <w:tr w:rsidR="006357C5" w:rsidRPr="00DC71B4" w:rsidTr="002554CF">
        <w:trPr>
          <w:jc w:val="center"/>
        </w:trPr>
        <w:tc>
          <w:tcPr>
            <w:tcW w:w="1749" w:type="dxa"/>
            <w:vAlign w:val="center"/>
          </w:tcPr>
          <w:p w:rsidR="006357C5" w:rsidRPr="00DC71B4" w:rsidRDefault="006357C5" w:rsidP="002554CF">
            <w:pPr>
              <w:spacing w:line="240" w:lineRule="auto"/>
              <w:rPr>
                <w:b/>
                <w:bCs/>
                <w:sz w:val="18"/>
                <w:szCs w:val="18"/>
              </w:rPr>
            </w:pPr>
            <w:r w:rsidRPr="00DC71B4">
              <w:rPr>
                <w:b/>
                <w:bCs/>
                <w:sz w:val="18"/>
                <w:szCs w:val="18"/>
              </w:rPr>
              <w:t>South Korea</w:t>
            </w:r>
          </w:p>
        </w:tc>
        <w:tc>
          <w:tcPr>
            <w:tcW w:w="0" w:type="auto"/>
            <w:vAlign w:val="center"/>
          </w:tcPr>
          <w:p w:rsidR="006357C5" w:rsidRPr="00DC71B4" w:rsidRDefault="006357C5" w:rsidP="002554CF">
            <w:pPr>
              <w:spacing w:line="240" w:lineRule="auto"/>
              <w:rPr>
                <w:sz w:val="18"/>
                <w:szCs w:val="18"/>
              </w:rPr>
            </w:pPr>
            <w:r w:rsidRPr="00DC71B4">
              <w:rPr>
                <w:sz w:val="18"/>
                <w:szCs w:val="18"/>
              </w:rPr>
              <w:t>50.51</w:t>
            </w:r>
          </w:p>
        </w:tc>
        <w:tc>
          <w:tcPr>
            <w:tcW w:w="0" w:type="auto"/>
            <w:vAlign w:val="center"/>
          </w:tcPr>
          <w:p w:rsidR="006357C5" w:rsidRPr="00DC71B4" w:rsidRDefault="006357C5" w:rsidP="002554CF">
            <w:pPr>
              <w:spacing w:line="240" w:lineRule="auto"/>
              <w:rPr>
                <w:sz w:val="18"/>
                <w:szCs w:val="18"/>
              </w:rPr>
            </w:pPr>
            <w:r w:rsidRPr="00DC71B4">
              <w:rPr>
                <w:sz w:val="18"/>
                <w:szCs w:val="18"/>
              </w:rPr>
              <w:t>29,003</w:t>
            </w:r>
          </w:p>
        </w:tc>
        <w:tc>
          <w:tcPr>
            <w:tcW w:w="0" w:type="auto"/>
            <w:vAlign w:val="center"/>
          </w:tcPr>
          <w:p w:rsidR="006357C5" w:rsidRPr="00DC71B4" w:rsidRDefault="006357C5" w:rsidP="002554CF">
            <w:pPr>
              <w:spacing w:line="240" w:lineRule="auto"/>
              <w:rPr>
                <w:sz w:val="18"/>
                <w:szCs w:val="18"/>
              </w:rPr>
            </w:pPr>
            <w:r w:rsidRPr="00DC71B4">
              <w:rPr>
                <w:sz w:val="18"/>
                <w:szCs w:val="18"/>
              </w:rPr>
              <w:t>0.31</w:t>
            </w:r>
          </w:p>
        </w:tc>
        <w:tc>
          <w:tcPr>
            <w:tcW w:w="0" w:type="auto"/>
          </w:tcPr>
          <w:p w:rsidR="006357C5" w:rsidRPr="00DC71B4" w:rsidRDefault="006357C5" w:rsidP="002554CF">
            <w:pPr>
              <w:spacing w:line="240" w:lineRule="auto"/>
              <w:rPr>
                <w:sz w:val="18"/>
                <w:szCs w:val="18"/>
              </w:rPr>
            </w:pPr>
            <w:r w:rsidRPr="00DC71B4">
              <w:rPr>
                <w:sz w:val="18"/>
                <w:szCs w:val="18"/>
              </w:rPr>
              <w:t>25.1</w:t>
            </w:r>
          </w:p>
        </w:tc>
        <w:tc>
          <w:tcPr>
            <w:tcW w:w="0" w:type="auto"/>
            <w:vAlign w:val="center"/>
          </w:tcPr>
          <w:p w:rsidR="006357C5" w:rsidRPr="00DC71B4" w:rsidRDefault="006357C5" w:rsidP="002554CF">
            <w:pPr>
              <w:spacing w:line="240" w:lineRule="auto"/>
              <w:rPr>
                <w:sz w:val="18"/>
                <w:szCs w:val="18"/>
              </w:rPr>
            </w:pPr>
            <w:r w:rsidRPr="00DC71B4">
              <w:rPr>
                <w:sz w:val="18"/>
                <w:szCs w:val="18"/>
              </w:rPr>
              <w:t>19.79</w:t>
            </w:r>
          </w:p>
        </w:tc>
        <w:tc>
          <w:tcPr>
            <w:tcW w:w="0" w:type="auto"/>
            <w:vAlign w:val="center"/>
          </w:tcPr>
          <w:p w:rsidR="006357C5" w:rsidRPr="00DC71B4" w:rsidRDefault="006357C5" w:rsidP="002554CF">
            <w:pPr>
              <w:spacing w:line="240" w:lineRule="auto"/>
              <w:rPr>
                <w:sz w:val="18"/>
                <w:szCs w:val="18"/>
              </w:rPr>
            </w:pPr>
            <w:r w:rsidRPr="00DC71B4">
              <w:rPr>
                <w:sz w:val="18"/>
                <w:szCs w:val="18"/>
              </w:rPr>
              <w:t>43,049</w:t>
            </w:r>
          </w:p>
        </w:tc>
        <w:tc>
          <w:tcPr>
            <w:tcW w:w="0" w:type="auto"/>
            <w:vAlign w:val="center"/>
          </w:tcPr>
          <w:p w:rsidR="006357C5" w:rsidRPr="00DC71B4" w:rsidRDefault="006357C5" w:rsidP="002554CF">
            <w:pPr>
              <w:spacing w:line="240" w:lineRule="auto"/>
              <w:rPr>
                <w:sz w:val="18"/>
                <w:szCs w:val="18"/>
              </w:rPr>
            </w:pPr>
            <w:r w:rsidRPr="00DC71B4">
              <w:rPr>
                <w:sz w:val="18"/>
                <w:szCs w:val="18"/>
              </w:rPr>
              <w:t>7.57</w:t>
            </w:r>
          </w:p>
        </w:tc>
        <w:tc>
          <w:tcPr>
            <w:tcW w:w="684" w:type="dxa"/>
            <w:vAlign w:val="center"/>
          </w:tcPr>
          <w:p w:rsidR="006357C5" w:rsidRPr="00DC71B4" w:rsidRDefault="006357C5" w:rsidP="002554CF">
            <w:pPr>
              <w:spacing w:line="240" w:lineRule="auto"/>
              <w:rPr>
                <w:sz w:val="18"/>
                <w:szCs w:val="18"/>
              </w:rPr>
            </w:pPr>
            <w:r w:rsidRPr="00DC71B4">
              <w:rPr>
                <w:sz w:val="18"/>
                <w:szCs w:val="18"/>
              </w:rPr>
              <w:t>0.63</w:t>
            </w:r>
          </w:p>
        </w:tc>
        <w:tc>
          <w:tcPr>
            <w:tcW w:w="686" w:type="dxa"/>
            <w:vAlign w:val="center"/>
          </w:tcPr>
          <w:p w:rsidR="006357C5" w:rsidRPr="00DC71B4" w:rsidRDefault="006357C5" w:rsidP="002554CF">
            <w:pPr>
              <w:spacing w:line="240" w:lineRule="auto"/>
              <w:rPr>
                <w:sz w:val="18"/>
                <w:szCs w:val="18"/>
              </w:rPr>
            </w:pPr>
            <w:r w:rsidRPr="00DC71B4">
              <w:rPr>
                <w:sz w:val="18"/>
                <w:szCs w:val="18"/>
              </w:rPr>
              <w:t>1.93</w:t>
            </w:r>
          </w:p>
        </w:tc>
        <w:tc>
          <w:tcPr>
            <w:tcW w:w="781" w:type="dxa"/>
            <w:vAlign w:val="center"/>
          </w:tcPr>
          <w:p w:rsidR="006357C5" w:rsidRPr="00DC71B4" w:rsidRDefault="006357C5" w:rsidP="002554CF">
            <w:pPr>
              <w:spacing w:line="240" w:lineRule="auto"/>
              <w:rPr>
                <w:sz w:val="18"/>
                <w:szCs w:val="18"/>
              </w:rPr>
            </w:pPr>
            <w:r w:rsidRPr="00DC71B4">
              <w:rPr>
                <w:sz w:val="18"/>
                <w:szCs w:val="18"/>
              </w:rPr>
              <w:t>63.09</w:t>
            </w:r>
          </w:p>
        </w:tc>
        <w:tc>
          <w:tcPr>
            <w:tcW w:w="669" w:type="dxa"/>
            <w:vAlign w:val="center"/>
          </w:tcPr>
          <w:p w:rsidR="006357C5" w:rsidRPr="00DC71B4" w:rsidRDefault="006357C5" w:rsidP="002554CF">
            <w:pPr>
              <w:spacing w:line="240" w:lineRule="auto"/>
              <w:rPr>
                <w:sz w:val="18"/>
                <w:szCs w:val="18"/>
              </w:rPr>
            </w:pPr>
            <w:r w:rsidRPr="00DC71B4">
              <w:rPr>
                <w:sz w:val="18"/>
                <w:szCs w:val="18"/>
              </w:rPr>
              <w:t>3.22</w:t>
            </w:r>
          </w:p>
        </w:tc>
        <w:tc>
          <w:tcPr>
            <w:tcW w:w="789" w:type="dxa"/>
            <w:vAlign w:val="center"/>
          </w:tcPr>
          <w:p w:rsidR="006357C5" w:rsidRPr="00DC71B4" w:rsidRDefault="006357C5" w:rsidP="002554CF">
            <w:pPr>
              <w:spacing w:line="240" w:lineRule="auto"/>
              <w:rPr>
                <w:sz w:val="18"/>
                <w:szCs w:val="18"/>
              </w:rPr>
            </w:pPr>
            <w:r w:rsidRPr="00DC71B4">
              <w:rPr>
                <w:sz w:val="18"/>
                <w:szCs w:val="18"/>
              </w:rPr>
              <w:t>0.63</w:t>
            </w:r>
          </w:p>
        </w:tc>
        <w:tc>
          <w:tcPr>
            <w:tcW w:w="847" w:type="dxa"/>
            <w:vAlign w:val="center"/>
          </w:tcPr>
          <w:p w:rsidR="006357C5" w:rsidRPr="00DC71B4" w:rsidRDefault="006357C5" w:rsidP="002554CF">
            <w:pPr>
              <w:spacing w:line="240" w:lineRule="auto"/>
              <w:rPr>
                <w:sz w:val="18"/>
                <w:szCs w:val="18"/>
              </w:rPr>
            </w:pPr>
            <w:r w:rsidRPr="00DC71B4">
              <w:rPr>
                <w:sz w:val="18"/>
                <w:szCs w:val="18"/>
              </w:rPr>
              <w:t>2.59</w:t>
            </w:r>
          </w:p>
        </w:tc>
        <w:tc>
          <w:tcPr>
            <w:tcW w:w="917" w:type="dxa"/>
            <w:vAlign w:val="center"/>
          </w:tcPr>
          <w:p w:rsidR="006357C5" w:rsidRPr="00DC71B4" w:rsidRDefault="006357C5" w:rsidP="002554CF">
            <w:pPr>
              <w:spacing w:line="240" w:lineRule="auto"/>
              <w:rPr>
                <w:sz w:val="18"/>
                <w:szCs w:val="18"/>
              </w:rPr>
            </w:pPr>
            <w:r w:rsidRPr="00DC71B4">
              <w:rPr>
                <w:sz w:val="18"/>
                <w:szCs w:val="18"/>
              </w:rPr>
              <w:t>.</w:t>
            </w:r>
          </w:p>
        </w:tc>
        <w:tc>
          <w:tcPr>
            <w:tcW w:w="680" w:type="dxa"/>
            <w:vAlign w:val="center"/>
          </w:tcPr>
          <w:p w:rsidR="006357C5" w:rsidRPr="00DC71B4" w:rsidRDefault="006357C5" w:rsidP="002554CF">
            <w:pPr>
              <w:spacing w:line="240" w:lineRule="auto"/>
              <w:rPr>
                <w:sz w:val="18"/>
                <w:szCs w:val="18"/>
              </w:rPr>
            </w:pPr>
            <w:r w:rsidRPr="00DC71B4">
              <w:rPr>
                <w:sz w:val="18"/>
                <w:szCs w:val="18"/>
              </w:rPr>
              <w:t>5.4</w:t>
            </w:r>
          </w:p>
        </w:tc>
        <w:tc>
          <w:tcPr>
            <w:tcW w:w="847" w:type="dxa"/>
            <w:vAlign w:val="center"/>
          </w:tcPr>
          <w:p w:rsidR="006357C5" w:rsidRPr="00DC71B4" w:rsidRDefault="006357C5" w:rsidP="002554CF">
            <w:pPr>
              <w:spacing w:line="240" w:lineRule="auto"/>
              <w:rPr>
                <w:sz w:val="18"/>
                <w:szCs w:val="18"/>
              </w:rPr>
            </w:pPr>
            <w:r w:rsidRPr="00DC71B4">
              <w:rPr>
                <w:sz w:val="18"/>
                <w:szCs w:val="18"/>
              </w:rPr>
              <w:t>6</w:t>
            </w:r>
          </w:p>
        </w:tc>
        <w:tc>
          <w:tcPr>
            <w:tcW w:w="1057" w:type="dxa"/>
            <w:vAlign w:val="center"/>
          </w:tcPr>
          <w:p w:rsidR="006357C5" w:rsidRPr="00DC71B4" w:rsidRDefault="006357C5" w:rsidP="002554CF">
            <w:pPr>
              <w:spacing w:line="240" w:lineRule="auto"/>
              <w:rPr>
                <w:sz w:val="18"/>
                <w:szCs w:val="18"/>
              </w:rPr>
            </w:pPr>
            <w:r w:rsidRPr="00DC71B4">
              <w:rPr>
                <w:sz w:val="18"/>
                <w:szCs w:val="18"/>
              </w:rPr>
              <w:t>11.4</w:t>
            </w:r>
          </w:p>
        </w:tc>
      </w:tr>
      <w:tr w:rsidR="006357C5" w:rsidRPr="00DC71B4" w:rsidTr="002554CF">
        <w:trPr>
          <w:jc w:val="center"/>
        </w:trPr>
        <w:tc>
          <w:tcPr>
            <w:tcW w:w="1749" w:type="dxa"/>
            <w:vAlign w:val="center"/>
          </w:tcPr>
          <w:p w:rsidR="006357C5" w:rsidRPr="00DC71B4" w:rsidRDefault="006357C5" w:rsidP="002554CF">
            <w:pPr>
              <w:spacing w:line="240" w:lineRule="auto"/>
              <w:rPr>
                <w:b/>
                <w:bCs/>
                <w:sz w:val="18"/>
                <w:szCs w:val="18"/>
              </w:rPr>
            </w:pPr>
            <w:r w:rsidRPr="00DC71B4">
              <w:rPr>
                <w:b/>
                <w:bCs/>
                <w:sz w:val="18"/>
                <w:szCs w:val="18"/>
              </w:rPr>
              <w:t>Hungary</w:t>
            </w:r>
          </w:p>
        </w:tc>
        <w:tc>
          <w:tcPr>
            <w:tcW w:w="0" w:type="auto"/>
            <w:vAlign w:val="center"/>
          </w:tcPr>
          <w:p w:rsidR="006357C5" w:rsidRPr="00DC71B4" w:rsidRDefault="006357C5" w:rsidP="002554CF">
            <w:pPr>
              <w:spacing w:line="240" w:lineRule="auto"/>
              <w:rPr>
                <w:sz w:val="18"/>
                <w:szCs w:val="18"/>
              </w:rPr>
            </w:pPr>
            <w:r w:rsidRPr="00DC71B4">
              <w:rPr>
                <w:sz w:val="18"/>
                <w:szCs w:val="18"/>
              </w:rPr>
              <w:t>10</w:t>
            </w:r>
          </w:p>
        </w:tc>
        <w:tc>
          <w:tcPr>
            <w:tcW w:w="0" w:type="auto"/>
            <w:vAlign w:val="center"/>
          </w:tcPr>
          <w:p w:rsidR="006357C5" w:rsidRPr="00DC71B4" w:rsidRDefault="006357C5" w:rsidP="002554CF">
            <w:pPr>
              <w:spacing w:line="240" w:lineRule="auto"/>
              <w:rPr>
                <w:sz w:val="18"/>
                <w:szCs w:val="18"/>
              </w:rPr>
            </w:pPr>
            <w:r w:rsidRPr="00DC71B4">
              <w:rPr>
                <w:sz w:val="18"/>
                <w:szCs w:val="18"/>
              </w:rPr>
              <w:t>20,325</w:t>
            </w:r>
          </w:p>
        </w:tc>
        <w:tc>
          <w:tcPr>
            <w:tcW w:w="0" w:type="auto"/>
            <w:vAlign w:val="center"/>
          </w:tcPr>
          <w:p w:rsidR="006357C5" w:rsidRPr="00DC71B4" w:rsidRDefault="006357C5" w:rsidP="002554CF">
            <w:pPr>
              <w:spacing w:line="240" w:lineRule="auto"/>
              <w:rPr>
                <w:sz w:val="18"/>
                <w:szCs w:val="18"/>
              </w:rPr>
            </w:pPr>
            <w:r w:rsidRPr="00DC71B4">
              <w:rPr>
                <w:sz w:val="18"/>
                <w:szCs w:val="18"/>
              </w:rPr>
              <w:t>0.27</w:t>
            </w:r>
          </w:p>
        </w:tc>
        <w:tc>
          <w:tcPr>
            <w:tcW w:w="0" w:type="auto"/>
          </w:tcPr>
          <w:p w:rsidR="006357C5" w:rsidRPr="00DC71B4" w:rsidRDefault="006357C5" w:rsidP="002554CF">
            <w:pPr>
              <w:spacing w:line="240" w:lineRule="auto"/>
              <w:rPr>
                <w:sz w:val="18"/>
                <w:szCs w:val="18"/>
              </w:rPr>
            </w:pPr>
            <w:r w:rsidRPr="00DC71B4">
              <w:rPr>
                <w:sz w:val="18"/>
                <w:szCs w:val="18"/>
              </w:rPr>
              <w:t>37.6</w:t>
            </w:r>
          </w:p>
        </w:tc>
        <w:tc>
          <w:tcPr>
            <w:tcW w:w="0" w:type="auto"/>
            <w:vAlign w:val="center"/>
          </w:tcPr>
          <w:p w:rsidR="006357C5" w:rsidRPr="00DC71B4" w:rsidRDefault="006357C5" w:rsidP="002554CF">
            <w:pPr>
              <w:spacing w:line="240" w:lineRule="auto"/>
              <w:rPr>
                <w:sz w:val="18"/>
                <w:szCs w:val="18"/>
              </w:rPr>
            </w:pPr>
            <w:r w:rsidRPr="00DC71B4">
              <w:rPr>
                <w:sz w:val="18"/>
                <w:szCs w:val="18"/>
              </w:rPr>
              <w:t>46.44</w:t>
            </w:r>
          </w:p>
        </w:tc>
        <w:tc>
          <w:tcPr>
            <w:tcW w:w="0" w:type="auto"/>
            <w:vAlign w:val="center"/>
          </w:tcPr>
          <w:p w:rsidR="006357C5" w:rsidRPr="00DC71B4" w:rsidRDefault="006357C5" w:rsidP="002554CF">
            <w:pPr>
              <w:spacing w:line="240" w:lineRule="auto"/>
              <w:rPr>
                <w:sz w:val="18"/>
                <w:szCs w:val="18"/>
              </w:rPr>
            </w:pPr>
            <w:r w:rsidRPr="00DC71B4">
              <w:rPr>
                <w:sz w:val="18"/>
                <w:szCs w:val="18"/>
              </w:rPr>
              <w:t>18,967</w:t>
            </w:r>
          </w:p>
        </w:tc>
        <w:tc>
          <w:tcPr>
            <w:tcW w:w="0" w:type="auto"/>
            <w:vAlign w:val="center"/>
          </w:tcPr>
          <w:p w:rsidR="006357C5" w:rsidRPr="00DC71B4" w:rsidRDefault="006357C5" w:rsidP="002554CF">
            <w:pPr>
              <w:spacing w:line="240" w:lineRule="auto"/>
              <w:rPr>
                <w:sz w:val="18"/>
                <w:szCs w:val="18"/>
              </w:rPr>
            </w:pPr>
            <w:r w:rsidRPr="00DC71B4">
              <w:rPr>
                <w:sz w:val="18"/>
                <w:szCs w:val="18"/>
              </w:rPr>
              <w:t>22.9</w:t>
            </w:r>
          </w:p>
        </w:tc>
        <w:tc>
          <w:tcPr>
            <w:tcW w:w="684" w:type="dxa"/>
            <w:vAlign w:val="center"/>
          </w:tcPr>
          <w:p w:rsidR="006357C5" w:rsidRPr="00DC71B4" w:rsidRDefault="006357C5" w:rsidP="002554CF">
            <w:pPr>
              <w:spacing w:line="240" w:lineRule="auto"/>
              <w:rPr>
                <w:sz w:val="18"/>
                <w:szCs w:val="18"/>
              </w:rPr>
            </w:pPr>
            <w:r w:rsidRPr="00DC71B4">
              <w:rPr>
                <w:sz w:val="18"/>
                <w:szCs w:val="18"/>
              </w:rPr>
              <w:t>0.9</w:t>
            </w:r>
          </w:p>
        </w:tc>
        <w:tc>
          <w:tcPr>
            <w:tcW w:w="686" w:type="dxa"/>
            <w:vAlign w:val="center"/>
          </w:tcPr>
          <w:p w:rsidR="006357C5" w:rsidRPr="00DC71B4" w:rsidRDefault="006357C5" w:rsidP="002554CF">
            <w:pPr>
              <w:spacing w:line="240" w:lineRule="auto"/>
              <w:rPr>
                <w:sz w:val="18"/>
                <w:szCs w:val="18"/>
              </w:rPr>
            </w:pPr>
            <w:r w:rsidRPr="00DC71B4">
              <w:rPr>
                <w:sz w:val="18"/>
                <w:szCs w:val="18"/>
              </w:rPr>
              <w:t>.</w:t>
            </w:r>
          </w:p>
        </w:tc>
        <w:tc>
          <w:tcPr>
            <w:tcW w:w="781" w:type="dxa"/>
            <w:vAlign w:val="center"/>
          </w:tcPr>
          <w:p w:rsidR="006357C5" w:rsidRPr="00DC71B4" w:rsidRDefault="006357C5" w:rsidP="002554CF">
            <w:pPr>
              <w:spacing w:line="240" w:lineRule="auto"/>
              <w:rPr>
                <w:sz w:val="18"/>
                <w:szCs w:val="18"/>
              </w:rPr>
            </w:pPr>
            <w:r w:rsidRPr="00DC71B4">
              <w:rPr>
                <w:sz w:val="18"/>
                <w:szCs w:val="18"/>
              </w:rPr>
              <w:t>25</w:t>
            </w:r>
          </w:p>
        </w:tc>
        <w:tc>
          <w:tcPr>
            <w:tcW w:w="669" w:type="dxa"/>
            <w:vAlign w:val="center"/>
          </w:tcPr>
          <w:p w:rsidR="006357C5" w:rsidRPr="00DC71B4" w:rsidRDefault="006357C5" w:rsidP="002554CF">
            <w:pPr>
              <w:spacing w:line="240" w:lineRule="auto"/>
              <w:rPr>
                <w:sz w:val="18"/>
                <w:szCs w:val="18"/>
              </w:rPr>
            </w:pPr>
            <w:r w:rsidRPr="00DC71B4">
              <w:rPr>
                <w:sz w:val="18"/>
                <w:szCs w:val="18"/>
              </w:rPr>
              <w:t>0.40</w:t>
            </w:r>
          </w:p>
        </w:tc>
        <w:tc>
          <w:tcPr>
            <w:tcW w:w="789" w:type="dxa"/>
            <w:vAlign w:val="center"/>
          </w:tcPr>
          <w:p w:rsidR="006357C5" w:rsidRPr="00DC71B4" w:rsidRDefault="006357C5" w:rsidP="002554CF">
            <w:pPr>
              <w:spacing w:line="240" w:lineRule="auto"/>
              <w:rPr>
                <w:sz w:val="18"/>
                <w:szCs w:val="18"/>
              </w:rPr>
            </w:pPr>
            <w:r w:rsidRPr="00DC71B4">
              <w:rPr>
                <w:sz w:val="18"/>
                <w:szCs w:val="18"/>
              </w:rPr>
              <w:t>0.33</w:t>
            </w:r>
          </w:p>
        </w:tc>
        <w:tc>
          <w:tcPr>
            <w:tcW w:w="847" w:type="dxa"/>
            <w:vAlign w:val="center"/>
          </w:tcPr>
          <w:p w:rsidR="006357C5" w:rsidRPr="00DC71B4" w:rsidRDefault="006357C5" w:rsidP="002554CF">
            <w:pPr>
              <w:spacing w:line="240" w:lineRule="auto"/>
              <w:rPr>
                <w:sz w:val="18"/>
                <w:szCs w:val="18"/>
              </w:rPr>
            </w:pPr>
            <w:r w:rsidRPr="00DC71B4">
              <w:rPr>
                <w:sz w:val="18"/>
                <w:szCs w:val="18"/>
              </w:rPr>
              <w:t>0.07</w:t>
            </w:r>
          </w:p>
        </w:tc>
        <w:tc>
          <w:tcPr>
            <w:tcW w:w="917" w:type="dxa"/>
            <w:vAlign w:val="center"/>
          </w:tcPr>
          <w:p w:rsidR="006357C5" w:rsidRPr="00DC71B4" w:rsidRDefault="006357C5" w:rsidP="002554CF">
            <w:pPr>
              <w:spacing w:line="240" w:lineRule="auto"/>
              <w:rPr>
                <w:sz w:val="18"/>
                <w:szCs w:val="18"/>
              </w:rPr>
            </w:pPr>
            <w:r w:rsidRPr="00DC71B4">
              <w:rPr>
                <w:sz w:val="18"/>
                <w:szCs w:val="18"/>
              </w:rPr>
              <w:t>.</w:t>
            </w:r>
          </w:p>
        </w:tc>
        <w:tc>
          <w:tcPr>
            <w:tcW w:w="680" w:type="dxa"/>
            <w:vAlign w:val="center"/>
          </w:tcPr>
          <w:p w:rsidR="006357C5" w:rsidRPr="00DC71B4" w:rsidRDefault="006357C5" w:rsidP="002554CF">
            <w:pPr>
              <w:spacing w:line="240" w:lineRule="auto"/>
              <w:rPr>
                <w:sz w:val="18"/>
                <w:szCs w:val="18"/>
              </w:rPr>
            </w:pPr>
            <w:r w:rsidRPr="00DC71B4">
              <w:rPr>
                <w:sz w:val="18"/>
                <w:szCs w:val="18"/>
              </w:rPr>
              <w:t>.</w:t>
            </w:r>
          </w:p>
        </w:tc>
        <w:tc>
          <w:tcPr>
            <w:tcW w:w="847" w:type="dxa"/>
            <w:vAlign w:val="center"/>
          </w:tcPr>
          <w:p w:rsidR="006357C5" w:rsidRPr="00DC71B4" w:rsidRDefault="006357C5" w:rsidP="002554CF">
            <w:pPr>
              <w:spacing w:line="240" w:lineRule="auto"/>
              <w:rPr>
                <w:sz w:val="18"/>
                <w:szCs w:val="18"/>
              </w:rPr>
            </w:pPr>
            <w:r w:rsidRPr="00DC71B4">
              <w:rPr>
                <w:sz w:val="18"/>
                <w:szCs w:val="18"/>
              </w:rPr>
              <w:t>14.3</w:t>
            </w:r>
          </w:p>
        </w:tc>
        <w:tc>
          <w:tcPr>
            <w:tcW w:w="1057" w:type="dxa"/>
            <w:vAlign w:val="center"/>
          </w:tcPr>
          <w:p w:rsidR="006357C5" w:rsidRPr="00DC71B4" w:rsidRDefault="006357C5" w:rsidP="002554CF">
            <w:pPr>
              <w:spacing w:line="240" w:lineRule="auto"/>
              <w:rPr>
                <w:sz w:val="18"/>
                <w:szCs w:val="18"/>
              </w:rPr>
            </w:pPr>
            <w:r w:rsidRPr="00DC71B4">
              <w:rPr>
                <w:sz w:val="18"/>
                <w:szCs w:val="18"/>
              </w:rPr>
              <w:t>.</w:t>
            </w:r>
          </w:p>
        </w:tc>
      </w:tr>
      <w:tr w:rsidR="006357C5" w:rsidRPr="00DC71B4" w:rsidTr="002554CF">
        <w:trPr>
          <w:jc w:val="center"/>
        </w:trPr>
        <w:tc>
          <w:tcPr>
            <w:tcW w:w="1749" w:type="dxa"/>
            <w:vAlign w:val="center"/>
          </w:tcPr>
          <w:p w:rsidR="006357C5" w:rsidRPr="00DC71B4" w:rsidRDefault="006357C5" w:rsidP="002554CF">
            <w:pPr>
              <w:spacing w:line="240" w:lineRule="auto"/>
              <w:rPr>
                <w:b/>
                <w:bCs/>
                <w:sz w:val="18"/>
                <w:szCs w:val="18"/>
              </w:rPr>
            </w:pPr>
            <w:r w:rsidRPr="00DC71B4">
              <w:rPr>
                <w:b/>
                <w:bCs/>
                <w:sz w:val="18"/>
                <w:szCs w:val="18"/>
              </w:rPr>
              <w:t>Norway</w:t>
            </w:r>
          </w:p>
        </w:tc>
        <w:tc>
          <w:tcPr>
            <w:tcW w:w="0" w:type="auto"/>
            <w:vAlign w:val="center"/>
          </w:tcPr>
          <w:p w:rsidR="006357C5" w:rsidRPr="00DC71B4" w:rsidRDefault="006357C5" w:rsidP="002554CF">
            <w:pPr>
              <w:spacing w:line="240" w:lineRule="auto"/>
              <w:rPr>
                <w:sz w:val="18"/>
                <w:szCs w:val="18"/>
              </w:rPr>
            </w:pPr>
            <w:r w:rsidRPr="00DC71B4">
              <w:rPr>
                <w:sz w:val="18"/>
                <w:szCs w:val="18"/>
              </w:rPr>
              <w:t>4.89</w:t>
            </w:r>
          </w:p>
        </w:tc>
        <w:tc>
          <w:tcPr>
            <w:tcW w:w="0" w:type="auto"/>
            <w:vAlign w:val="center"/>
          </w:tcPr>
          <w:p w:rsidR="006357C5" w:rsidRPr="00DC71B4" w:rsidRDefault="006357C5" w:rsidP="002554CF">
            <w:pPr>
              <w:spacing w:line="240" w:lineRule="auto"/>
              <w:rPr>
                <w:sz w:val="18"/>
                <w:szCs w:val="18"/>
              </w:rPr>
            </w:pPr>
            <w:r w:rsidRPr="00DC71B4">
              <w:rPr>
                <w:sz w:val="18"/>
                <w:szCs w:val="18"/>
              </w:rPr>
              <w:t>56,648</w:t>
            </w:r>
          </w:p>
        </w:tc>
        <w:tc>
          <w:tcPr>
            <w:tcW w:w="0" w:type="auto"/>
            <w:vAlign w:val="center"/>
          </w:tcPr>
          <w:p w:rsidR="006357C5" w:rsidRPr="00DC71B4" w:rsidRDefault="006357C5" w:rsidP="002554CF">
            <w:pPr>
              <w:spacing w:line="240" w:lineRule="auto"/>
              <w:rPr>
                <w:sz w:val="18"/>
                <w:szCs w:val="18"/>
              </w:rPr>
            </w:pPr>
            <w:r w:rsidRPr="00DC71B4">
              <w:rPr>
                <w:sz w:val="18"/>
                <w:szCs w:val="18"/>
              </w:rPr>
              <w:t>0.25</w:t>
            </w:r>
          </w:p>
        </w:tc>
        <w:tc>
          <w:tcPr>
            <w:tcW w:w="0" w:type="auto"/>
          </w:tcPr>
          <w:p w:rsidR="006357C5" w:rsidRPr="00DC71B4" w:rsidRDefault="006357C5" w:rsidP="002554CF">
            <w:pPr>
              <w:spacing w:line="240" w:lineRule="auto"/>
              <w:rPr>
                <w:sz w:val="18"/>
                <w:szCs w:val="18"/>
              </w:rPr>
            </w:pPr>
            <w:r w:rsidRPr="00DC71B4">
              <w:rPr>
                <w:sz w:val="18"/>
                <w:szCs w:val="18"/>
              </w:rPr>
              <w:t>42.8</w:t>
            </w:r>
          </w:p>
        </w:tc>
        <w:tc>
          <w:tcPr>
            <w:tcW w:w="0" w:type="auto"/>
            <w:vAlign w:val="center"/>
          </w:tcPr>
          <w:p w:rsidR="006357C5" w:rsidRPr="00DC71B4" w:rsidRDefault="006357C5" w:rsidP="002554CF">
            <w:pPr>
              <w:spacing w:line="240" w:lineRule="auto"/>
              <w:rPr>
                <w:sz w:val="18"/>
                <w:szCs w:val="18"/>
              </w:rPr>
            </w:pPr>
            <w:r w:rsidRPr="00DC71B4">
              <w:rPr>
                <w:sz w:val="18"/>
                <w:szCs w:val="18"/>
              </w:rPr>
              <w:t>36.83</w:t>
            </w:r>
          </w:p>
        </w:tc>
        <w:tc>
          <w:tcPr>
            <w:tcW w:w="0" w:type="auto"/>
            <w:vAlign w:val="center"/>
          </w:tcPr>
          <w:p w:rsidR="006357C5" w:rsidRPr="00DC71B4" w:rsidRDefault="006357C5" w:rsidP="002554CF">
            <w:pPr>
              <w:spacing w:line="240" w:lineRule="auto"/>
              <w:rPr>
                <w:sz w:val="18"/>
                <w:szCs w:val="18"/>
              </w:rPr>
            </w:pPr>
            <w:r w:rsidRPr="00DC71B4">
              <w:rPr>
                <w:sz w:val="18"/>
                <w:szCs w:val="18"/>
              </w:rPr>
              <w:t>49,991</w:t>
            </w:r>
          </w:p>
        </w:tc>
        <w:tc>
          <w:tcPr>
            <w:tcW w:w="0" w:type="auto"/>
            <w:vAlign w:val="center"/>
          </w:tcPr>
          <w:p w:rsidR="006357C5" w:rsidRPr="00DC71B4" w:rsidRDefault="006357C5" w:rsidP="002554CF">
            <w:pPr>
              <w:spacing w:line="240" w:lineRule="auto"/>
              <w:rPr>
                <w:sz w:val="18"/>
                <w:szCs w:val="18"/>
              </w:rPr>
            </w:pPr>
            <w:r w:rsidRPr="00DC71B4">
              <w:rPr>
                <w:sz w:val="18"/>
                <w:szCs w:val="18"/>
              </w:rPr>
              <w:t>20.80</w:t>
            </w:r>
          </w:p>
        </w:tc>
        <w:tc>
          <w:tcPr>
            <w:tcW w:w="684" w:type="dxa"/>
            <w:vAlign w:val="center"/>
          </w:tcPr>
          <w:p w:rsidR="006357C5" w:rsidRPr="00DC71B4" w:rsidRDefault="006357C5" w:rsidP="002554CF">
            <w:pPr>
              <w:spacing w:line="240" w:lineRule="auto"/>
              <w:rPr>
                <w:sz w:val="18"/>
                <w:szCs w:val="18"/>
              </w:rPr>
            </w:pPr>
            <w:r w:rsidRPr="00DC71B4">
              <w:rPr>
                <w:sz w:val="18"/>
                <w:szCs w:val="18"/>
              </w:rPr>
              <w:t>1.62</w:t>
            </w:r>
          </w:p>
        </w:tc>
        <w:tc>
          <w:tcPr>
            <w:tcW w:w="686" w:type="dxa"/>
            <w:vAlign w:val="center"/>
          </w:tcPr>
          <w:p w:rsidR="006357C5" w:rsidRPr="00DC71B4" w:rsidRDefault="006357C5" w:rsidP="002554CF">
            <w:pPr>
              <w:spacing w:line="240" w:lineRule="auto"/>
              <w:rPr>
                <w:sz w:val="18"/>
                <w:szCs w:val="18"/>
              </w:rPr>
            </w:pPr>
            <w:r w:rsidRPr="00DC71B4">
              <w:rPr>
                <w:sz w:val="18"/>
                <w:szCs w:val="18"/>
              </w:rPr>
              <w:t>0.05</w:t>
            </w:r>
          </w:p>
        </w:tc>
        <w:tc>
          <w:tcPr>
            <w:tcW w:w="781" w:type="dxa"/>
            <w:vAlign w:val="center"/>
          </w:tcPr>
          <w:p w:rsidR="006357C5" w:rsidRPr="00DC71B4" w:rsidRDefault="006357C5" w:rsidP="002554CF">
            <w:pPr>
              <w:spacing w:line="240" w:lineRule="auto"/>
              <w:rPr>
                <w:sz w:val="18"/>
                <w:szCs w:val="18"/>
              </w:rPr>
            </w:pPr>
            <w:r w:rsidRPr="00DC71B4">
              <w:rPr>
                <w:sz w:val="18"/>
                <w:szCs w:val="18"/>
              </w:rPr>
              <w:t>46.83</w:t>
            </w:r>
          </w:p>
        </w:tc>
        <w:tc>
          <w:tcPr>
            <w:tcW w:w="669" w:type="dxa"/>
            <w:vAlign w:val="center"/>
          </w:tcPr>
          <w:p w:rsidR="006357C5" w:rsidRPr="00DC71B4" w:rsidRDefault="006357C5" w:rsidP="002554CF">
            <w:pPr>
              <w:spacing w:line="240" w:lineRule="auto"/>
              <w:rPr>
                <w:sz w:val="18"/>
                <w:szCs w:val="18"/>
              </w:rPr>
            </w:pPr>
            <w:r w:rsidRPr="00DC71B4">
              <w:rPr>
                <w:sz w:val="18"/>
                <w:szCs w:val="18"/>
              </w:rPr>
              <w:t>0.22</w:t>
            </w:r>
          </w:p>
        </w:tc>
        <w:tc>
          <w:tcPr>
            <w:tcW w:w="789" w:type="dxa"/>
            <w:vAlign w:val="center"/>
          </w:tcPr>
          <w:p w:rsidR="006357C5" w:rsidRPr="00DC71B4" w:rsidRDefault="006357C5" w:rsidP="002554CF">
            <w:pPr>
              <w:spacing w:line="240" w:lineRule="auto"/>
              <w:rPr>
                <w:sz w:val="18"/>
                <w:szCs w:val="18"/>
              </w:rPr>
            </w:pPr>
            <w:r w:rsidRPr="00DC71B4">
              <w:rPr>
                <w:sz w:val="18"/>
                <w:szCs w:val="18"/>
              </w:rPr>
              <w:t>0.19</w:t>
            </w:r>
          </w:p>
        </w:tc>
        <w:tc>
          <w:tcPr>
            <w:tcW w:w="847" w:type="dxa"/>
            <w:vAlign w:val="center"/>
          </w:tcPr>
          <w:p w:rsidR="006357C5" w:rsidRPr="00DC71B4" w:rsidRDefault="006357C5" w:rsidP="002554CF">
            <w:pPr>
              <w:spacing w:line="240" w:lineRule="auto"/>
              <w:rPr>
                <w:sz w:val="18"/>
                <w:szCs w:val="18"/>
              </w:rPr>
            </w:pPr>
            <w:r w:rsidRPr="00DC71B4">
              <w:rPr>
                <w:sz w:val="18"/>
                <w:szCs w:val="18"/>
              </w:rPr>
              <w:t>0.03</w:t>
            </w:r>
          </w:p>
        </w:tc>
        <w:tc>
          <w:tcPr>
            <w:tcW w:w="917" w:type="dxa"/>
            <w:vAlign w:val="center"/>
          </w:tcPr>
          <w:p w:rsidR="006357C5" w:rsidRPr="00DC71B4" w:rsidRDefault="006357C5" w:rsidP="002554CF">
            <w:pPr>
              <w:spacing w:line="240" w:lineRule="auto"/>
              <w:rPr>
                <w:sz w:val="18"/>
                <w:szCs w:val="18"/>
              </w:rPr>
            </w:pPr>
            <w:r w:rsidRPr="00DC71B4">
              <w:rPr>
                <w:sz w:val="18"/>
                <w:szCs w:val="18"/>
              </w:rPr>
              <w:t>67</w:t>
            </w:r>
          </w:p>
        </w:tc>
        <w:tc>
          <w:tcPr>
            <w:tcW w:w="680" w:type="dxa"/>
            <w:vAlign w:val="center"/>
          </w:tcPr>
          <w:p w:rsidR="006357C5" w:rsidRPr="00DC71B4" w:rsidRDefault="006357C5" w:rsidP="002554CF">
            <w:pPr>
              <w:spacing w:line="240" w:lineRule="auto"/>
              <w:rPr>
                <w:sz w:val="18"/>
                <w:szCs w:val="18"/>
              </w:rPr>
            </w:pPr>
            <w:r w:rsidRPr="00DC71B4">
              <w:rPr>
                <w:sz w:val="18"/>
                <w:szCs w:val="18"/>
              </w:rPr>
              <w:t>27.9</w:t>
            </w:r>
          </w:p>
        </w:tc>
        <w:tc>
          <w:tcPr>
            <w:tcW w:w="847" w:type="dxa"/>
            <w:vAlign w:val="center"/>
          </w:tcPr>
          <w:p w:rsidR="006357C5" w:rsidRPr="00DC71B4" w:rsidRDefault="006357C5" w:rsidP="002554CF">
            <w:pPr>
              <w:spacing w:line="240" w:lineRule="auto"/>
              <w:rPr>
                <w:sz w:val="18"/>
                <w:szCs w:val="18"/>
              </w:rPr>
            </w:pPr>
            <w:r w:rsidRPr="00DC71B4">
              <w:rPr>
                <w:sz w:val="18"/>
                <w:szCs w:val="18"/>
              </w:rPr>
              <w:t>16.2</w:t>
            </w:r>
          </w:p>
        </w:tc>
        <w:tc>
          <w:tcPr>
            <w:tcW w:w="1057" w:type="dxa"/>
            <w:vAlign w:val="center"/>
          </w:tcPr>
          <w:p w:rsidR="006357C5" w:rsidRPr="00DC71B4" w:rsidRDefault="006357C5" w:rsidP="002554CF">
            <w:pPr>
              <w:spacing w:line="240" w:lineRule="auto"/>
              <w:rPr>
                <w:sz w:val="18"/>
                <w:szCs w:val="18"/>
              </w:rPr>
            </w:pPr>
            <w:r w:rsidRPr="00DC71B4">
              <w:rPr>
                <w:sz w:val="18"/>
                <w:szCs w:val="18"/>
              </w:rPr>
              <w:t>44.1</w:t>
            </w:r>
          </w:p>
        </w:tc>
      </w:tr>
      <w:tr w:rsidR="006357C5" w:rsidRPr="00DC71B4" w:rsidTr="002554CF">
        <w:trPr>
          <w:jc w:val="center"/>
        </w:trPr>
        <w:tc>
          <w:tcPr>
            <w:tcW w:w="1749" w:type="dxa"/>
            <w:shd w:val="clear" w:color="auto" w:fill="FFFFFF"/>
            <w:vAlign w:val="center"/>
          </w:tcPr>
          <w:p w:rsidR="006357C5" w:rsidRPr="00DC71B4" w:rsidRDefault="006357C5" w:rsidP="002554CF">
            <w:pPr>
              <w:spacing w:line="240" w:lineRule="auto"/>
              <w:rPr>
                <w:b/>
                <w:bCs/>
                <w:sz w:val="18"/>
                <w:szCs w:val="18"/>
              </w:rPr>
            </w:pPr>
            <w:r w:rsidRPr="00DC71B4">
              <w:rPr>
                <w:b/>
                <w:bCs/>
                <w:sz w:val="18"/>
                <w:szCs w:val="18"/>
              </w:rPr>
              <w:t>Chile</w:t>
            </w:r>
          </w:p>
        </w:tc>
        <w:tc>
          <w:tcPr>
            <w:tcW w:w="0" w:type="auto"/>
            <w:shd w:val="clear" w:color="auto" w:fill="FFFFFF"/>
            <w:vAlign w:val="center"/>
          </w:tcPr>
          <w:p w:rsidR="006357C5" w:rsidRPr="00DC71B4" w:rsidRDefault="006357C5" w:rsidP="002554CF">
            <w:pPr>
              <w:spacing w:line="240" w:lineRule="auto"/>
              <w:rPr>
                <w:sz w:val="18"/>
                <w:szCs w:val="18"/>
              </w:rPr>
            </w:pPr>
            <w:r w:rsidRPr="00DC71B4">
              <w:rPr>
                <w:sz w:val="18"/>
                <w:szCs w:val="18"/>
              </w:rPr>
              <w:t>17.09</w:t>
            </w:r>
          </w:p>
        </w:tc>
        <w:tc>
          <w:tcPr>
            <w:tcW w:w="0" w:type="auto"/>
            <w:shd w:val="clear" w:color="auto" w:fill="FFFFFF"/>
            <w:vAlign w:val="center"/>
          </w:tcPr>
          <w:p w:rsidR="006357C5" w:rsidRPr="00DC71B4" w:rsidRDefault="006357C5" w:rsidP="002554CF">
            <w:pPr>
              <w:spacing w:line="240" w:lineRule="auto"/>
              <w:rPr>
                <w:sz w:val="18"/>
                <w:szCs w:val="18"/>
              </w:rPr>
            </w:pPr>
            <w:r w:rsidRPr="00DC71B4">
              <w:rPr>
                <w:sz w:val="18"/>
                <w:szCs w:val="18"/>
              </w:rPr>
              <w:t>15,064</w:t>
            </w:r>
          </w:p>
        </w:tc>
        <w:tc>
          <w:tcPr>
            <w:tcW w:w="0" w:type="auto"/>
            <w:shd w:val="clear" w:color="auto" w:fill="FFFFFF"/>
            <w:vAlign w:val="center"/>
          </w:tcPr>
          <w:p w:rsidR="006357C5" w:rsidRPr="00DC71B4" w:rsidRDefault="006357C5" w:rsidP="002554CF">
            <w:pPr>
              <w:spacing w:line="240" w:lineRule="auto"/>
              <w:rPr>
                <w:sz w:val="18"/>
                <w:szCs w:val="18"/>
              </w:rPr>
            </w:pPr>
            <w:r w:rsidRPr="00DC71B4">
              <w:rPr>
                <w:sz w:val="18"/>
                <w:szCs w:val="18"/>
              </w:rPr>
              <w:t>0.49</w:t>
            </w:r>
          </w:p>
        </w:tc>
        <w:tc>
          <w:tcPr>
            <w:tcW w:w="0" w:type="auto"/>
            <w:shd w:val="clear" w:color="auto" w:fill="FFFFFF"/>
          </w:tcPr>
          <w:p w:rsidR="006357C5" w:rsidRPr="00DC71B4" w:rsidRDefault="006357C5" w:rsidP="002554CF">
            <w:pPr>
              <w:spacing w:line="240" w:lineRule="auto"/>
              <w:rPr>
                <w:sz w:val="18"/>
                <w:szCs w:val="18"/>
              </w:rPr>
            </w:pPr>
            <w:r w:rsidRPr="00DC71B4">
              <w:rPr>
                <w:sz w:val="18"/>
                <w:szCs w:val="18"/>
              </w:rPr>
              <w:t>20.9</w:t>
            </w:r>
          </w:p>
        </w:tc>
        <w:tc>
          <w:tcPr>
            <w:tcW w:w="0" w:type="auto"/>
            <w:shd w:val="clear" w:color="auto" w:fill="FFFFFF"/>
            <w:vAlign w:val="center"/>
          </w:tcPr>
          <w:p w:rsidR="006357C5" w:rsidRPr="00DC71B4" w:rsidRDefault="006357C5" w:rsidP="002554CF">
            <w:pPr>
              <w:spacing w:line="240" w:lineRule="auto"/>
              <w:rPr>
                <w:sz w:val="18"/>
                <w:szCs w:val="18"/>
              </w:rPr>
            </w:pPr>
            <w:r w:rsidRPr="00DC71B4">
              <w:rPr>
                <w:sz w:val="18"/>
                <w:szCs w:val="18"/>
              </w:rPr>
              <w:t>7</w:t>
            </w:r>
          </w:p>
        </w:tc>
        <w:tc>
          <w:tcPr>
            <w:tcW w:w="0" w:type="auto"/>
            <w:shd w:val="clear" w:color="auto" w:fill="FFFFFF"/>
            <w:vAlign w:val="center"/>
          </w:tcPr>
          <w:p w:rsidR="006357C5" w:rsidRPr="00DC71B4" w:rsidRDefault="006357C5" w:rsidP="002554CF">
            <w:pPr>
              <w:spacing w:line="240" w:lineRule="auto"/>
              <w:rPr>
                <w:sz w:val="18"/>
                <w:szCs w:val="18"/>
              </w:rPr>
            </w:pPr>
            <w:r w:rsidRPr="00DC71B4">
              <w:rPr>
                <w:sz w:val="18"/>
                <w:szCs w:val="18"/>
              </w:rPr>
              <w:t>11,552</w:t>
            </w:r>
          </w:p>
        </w:tc>
        <w:tc>
          <w:tcPr>
            <w:tcW w:w="0" w:type="auto"/>
            <w:shd w:val="clear" w:color="auto" w:fill="FFFFFF"/>
            <w:vAlign w:val="center"/>
          </w:tcPr>
          <w:p w:rsidR="006357C5" w:rsidRPr="00DC71B4" w:rsidRDefault="006357C5" w:rsidP="002554CF">
            <w:pPr>
              <w:spacing w:line="240" w:lineRule="auto"/>
              <w:rPr>
                <w:sz w:val="18"/>
                <w:szCs w:val="18"/>
              </w:rPr>
            </w:pPr>
            <w:r w:rsidRPr="00DC71B4">
              <w:rPr>
                <w:sz w:val="18"/>
                <w:szCs w:val="18"/>
              </w:rPr>
              <w:t>10.56</w:t>
            </w:r>
          </w:p>
        </w:tc>
        <w:tc>
          <w:tcPr>
            <w:tcW w:w="1370" w:type="dxa"/>
            <w:gridSpan w:val="2"/>
            <w:shd w:val="clear" w:color="auto" w:fill="FFFFFF"/>
            <w:vAlign w:val="center"/>
          </w:tcPr>
          <w:p w:rsidR="006357C5" w:rsidRPr="00DC71B4" w:rsidRDefault="006357C5" w:rsidP="002554CF">
            <w:pPr>
              <w:spacing w:line="240" w:lineRule="auto"/>
              <w:rPr>
                <w:sz w:val="18"/>
                <w:szCs w:val="18"/>
              </w:rPr>
            </w:pPr>
            <w:r w:rsidRPr="00DC71B4">
              <w:rPr>
                <w:sz w:val="18"/>
                <w:szCs w:val="18"/>
              </w:rPr>
              <w:t>2.2</w:t>
            </w:r>
          </w:p>
        </w:tc>
        <w:tc>
          <w:tcPr>
            <w:tcW w:w="781" w:type="dxa"/>
            <w:shd w:val="clear" w:color="auto" w:fill="FFFFFF"/>
            <w:vAlign w:val="center"/>
          </w:tcPr>
          <w:p w:rsidR="006357C5" w:rsidRPr="00DC71B4" w:rsidRDefault="006357C5" w:rsidP="002554CF">
            <w:pPr>
              <w:spacing w:line="240" w:lineRule="auto"/>
              <w:rPr>
                <w:sz w:val="18"/>
                <w:szCs w:val="18"/>
              </w:rPr>
            </w:pPr>
            <w:r w:rsidRPr="00DC71B4">
              <w:rPr>
                <w:sz w:val="18"/>
                <w:szCs w:val="18"/>
              </w:rPr>
              <w:t>34.94</w:t>
            </w:r>
          </w:p>
        </w:tc>
        <w:tc>
          <w:tcPr>
            <w:tcW w:w="669" w:type="dxa"/>
            <w:shd w:val="clear" w:color="auto" w:fill="FFFFFF"/>
            <w:vAlign w:val="center"/>
          </w:tcPr>
          <w:p w:rsidR="006357C5" w:rsidRPr="00DC71B4" w:rsidRDefault="006357C5" w:rsidP="002554CF">
            <w:pPr>
              <w:spacing w:line="240" w:lineRule="auto"/>
              <w:rPr>
                <w:sz w:val="18"/>
                <w:szCs w:val="18"/>
              </w:rPr>
            </w:pPr>
            <w:r w:rsidRPr="00DC71B4">
              <w:rPr>
                <w:sz w:val="18"/>
                <w:szCs w:val="18"/>
              </w:rPr>
              <w:t>0.88</w:t>
            </w:r>
          </w:p>
        </w:tc>
        <w:tc>
          <w:tcPr>
            <w:tcW w:w="789" w:type="dxa"/>
            <w:shd w:val="clear" w:color="auto" w:fill="FFFFFF"/>
            <w:vAlign w:val="center"/>
          </w:tcPr>
          <w:p w:rsidR="006357C5" w:rsidRPr="00DC71B4" w:rsidRDefault="006357C5" w:rsidP="002554CF">
            <w:pPr>
              <w:spacing w:line="240" w:lineRule="auto"/>
              <w:rPr>
                <w:sz w:val="18"/>
                <w:szCs w:val="18"/>
              </w:rPr>
            </w:pPr>
            <w:r w:rsidRPr="00DC71B4">
              <w:rPr>
                <w:sz w:val="18"/>
                <w:szCs w:val="18"/>
              </w:rPr>
              <w:t>0.18</w:t>
            </w:r>
          </w:p>
        </w:tc>
        <w:tc>
          <w:tcPr>
            <w:tcW w:w="847" w:type="dxa"/>
            <w:shd w:val="clear" w:color="auto" w:fill="FFFFFF"/>
            <w:vAlign w:val="center"/>
          </w:tcPr>
          <w:p w:rsidR="006357C5" w:rsidRPr="00DC71B4" w:rsidRDefault="006357C5" w:rsidP="002554CF">
            <w:pPr>
              <w:spacing w:line="240" w:lineRule="auto"/>
              <w:rPr>
                <w:sz w:val="18"/>
                <w:szCs w:val="18"/>
              </w:rPr>
            </w:pPr>
            <w:r w:rsidRPr="00DC71B4">
              <w:rPr>
                <w:sz w:val="18"/>
                <w:szCs w:val="18"/>
              </w:rPr>
              <w:t>0.70</w:t>
            </w:r>
          </w:p>
        </w:tc>
        <w:tc>
          <w:tcPr>
            <w:tcW w:w="917" w:type="dxa"/>
            <w:shd w:val="clear" w:color="auto" w:fill="FFFFFF"/>
            <w:vAlign w:val="center"/>
          </w:tcPr>
          <w:p w:rsidR="006357C5" w:rsidRPr="00DC71B4" w:rsidRDefault="006357C5" w:rsidP="002554CF">
            <w:pPr>
              <w:spacing w:line="240" w:lineRule="auto"/>
              <w:rPr>
                <w:sz w:val="18"/>
                <w:szCs w:val="18"/>
              </w:rPr>
            </w:pPr>
            <w:r w:rsidRPr="00DC71B4">
              <w:rPr>
                <w:sz w:val="18"/>
                <w:szCs w:val="18"/>
              </w:rPr>
              <w:t>.</w:t>
            </w:r>
          </w:p>
        </w:tc>
        <w:tc>
          <w:tcPr>
            <w:tcW w:w="680" w:type="dxa"/>
            <w:shd w:val="clear" w:color="auto" w:fill="FFFFFF"/>
            <w:vAlign w:val="center"/>
          </w:tcPr>
          <w:p w:rsidR="006357C5" w:rsidRPr="00DC71B4" w:rsidRDefault="006357C5" w:rsidP="002554CF">
            <w:pPr>
              <w:spacing w:line="240" w:lineRule="auto"/>
              <w:rPr>
                <w:sz w:val="18"/>
                <w:szCs w:val="18"/>
              </w:rPr>
            </w:pPr>
            <w:r w:rsidRPr="00DC71B4">
              <w:rPr>
                <w:sz w:val="18"/>
                <w:szCs w:val="18"/>
              </w:rPr>
              <w:t>22.4</w:t>
            </w:r>
          </w:p>
        </w:tc>
        <w:tc>
          <w:tcPr>
            <w:tcW w:w="847" w:type="dxa"/>
            <w:shd w:val="clear" w:color="auto" w:fill="FFFFFF"/>
            <w:vAlign w:val="center"/>
          </w:tcPr>
          <w:p w:rsidR="006357C5" w:rsidRPr="00DC71B4" w:rsidRDefault="006357C5" w:rsidP="002554CF">
            <w:pPr>
              <w:spacing w:line="240" w:lineRule="auto"/>
              <w:rPr>
                <w:sz w:val="18"/>
                <w:szCs w:val="18"/>
              </w:rPr>
            </w:pPr>
            <w:r w:rsidRPr="00DC71B4">
              <w:rPr>
                <w:sz w:val="18"/>
                <w:szCs w:val="18"/>
              </w:rPr>
              <w:t>33.2</w:t>
            </w:r>
          </w:p>
        </w:tc>
        <w:tc>
          <w:tcPr>
            <w:tcW w:w="1057" w:type="dxa"/>
            <w:shd w:val="clear" w:color="auto" w:fill="FFFFFF"/>
            <w:vAlign w:val="center"/>
          </w:tcPr>
          <w:p w:rsidR="006357C5" w:rsidRPr="00DC71B4" w:rsidRDefault="006357C5" w:rsidP="002554CF">
            <w:pPr>
              <w:spacing w:line="240" w:lineRule="auto"/>
              <w:rPr>
                <w:sz w:val="18"/>
                <w:szCs w:val="18"/>
              </w:rPr>
            </w:pPr>
            <w:r w:rsidRPr="00DC71B4">
              <w:rPr>
                <w:sz w:val="18"/>
                <w:szCs w:val="18"/>
              </w:rPr>
              <w:t>55.6</w:t>
            </w:r>
          </w:p>
        </w:tc>
      </w:tr>
    </w:tbl>
    <w:p w:rsidR="006357C5" w:rsidRPr="00F71402" w:rsidRDefault="006357C5" w:rsidP="006357C5">
      <w:pPr>
        <w:ind w:left="-450"/>
        <w:jc w:val="both"/>
        <w:rPr>
          <w:sz w:val="18"/>
          <w:szCs w:val="18"/>
        </w:rPr>
      </w:pPr>
      <w:r w:rsidRPr="00DF0CD6">
        <w:rPr>
          <w:sz w:val="20"/>
          <w:szCs w:val="20"/>
        </w:rPr>
        <w:br/>
      </w:r>
      <w:r w:rsidRPr="009F5024">
        <w:rPr>
          <w:sz w:val="18"/>
          <w:szCs w:val="18"/>
          <w:u w:val="single"/>
        </w:rPr>
        <w:t>Sources:</w:t>
      </w:r>
      <w:r w:rsidRPr="00575059">
        <w:rPr>
          <w:sz w:val="18"/>
          <w:szCs w:val="18"/>
        </w:rPr>
        <w:t xml:space="preserve"> OECD Stats (</w:t>
      </w:r>
      <w:hyperlink r:id="rId14" w:history="1">
        <w:r w:rsidRPr="00575059">
          <w:rPr>
            <w:rStyle w:val="Hyperlink"/>
            <w:rFonts w:cs="Arial"/>
            <w:sz w:val="18"/>
            <w:szCs w:val="18"/>
          </w:rPr>
          <w:t>http://stats.oecd.org</w:t>
        </w:r>
      </w:hyperlink>
      <w:r w:rsidRPr="00575059">
        <w:rPr>
          <w:sz w:val="18"/>
          <w:szCs w:val="18"/>
        </w:rPr>
        <w:t xml:space="preserve">) for variables (1) – (13); OECD (2011) for variables (14) – (17). </w:t>
      </w:r>
    </w:p>
    <w:p w:rsidR="006357C5" w:rsidRPr="00F71402" w:rsidRDefault="006357C5" w:rsidP="006357C5">
      <w:pPr>
        <w:ind w:left="-450"/>
        <w:jc w:val="both"/>
        <w:rPr>
          <w:sz w:val="18"/>
          <w:szCs w:val="18"/>
        </w:rPr>
      </w:pPr>
      <w:r w:rsidRPr="00575059">
        <w:rPr>
          <w:sz w:val="18"/>
          <w:szCs w:val="18"/>
        </w:rPr>
        <w:t xml:space="preserve">Unless otherwise specified, data for variables (1) – (10) correspond to 2010, and data for variables (11) – (14) corresponds to 2009. </w:t>
      </w:r>
      <w:r w:rsidRPr="00575059">
        <w:rPr>
          <w:sz w:val="18"/>
          <w:szCs w:val="18"/>
        </w:rPr>
        <w:br/>
      </w:r>
      <w:r w:rsidRPr="00575059">
        <w:rPr>
          <w:b/>
          <w:sz w:val="18"/>
          <w:szCs w:val="18"/>
        </w:rPr>
        <w:t>†</w:t>
      </w:r>
      <w:r w:rsidRPr="00575059">
        <w:rPr>
          <w:sz w:val="18"/>
          <w:szCs w:val="18"/>
        </w:rPr>
        <w:t xml:space="preserve">: For a single person at 100% of average earnings, without children. </w:t>
      </w:r>
    </w:p>
    <w:p w:rsidR="006357C5" w:rsidRPr="00DF0CD6" w:rsidRDefault="006357C5" w:rsidP="006357C5">
      <w:pPr>
        <w:ind w:left="-450"/>
        <w:jc w:val="both"/>
        <w:rPr>
          <w:sz w:val="20"/>
          <w:szCs w:val="20"/>
        </w:rPr>
      </w:pPr>
      <w:r w:rsidRPr="00575059">
        <w:rPr>
          <w:sz w:val="18"/>
          <w:szCs w:val="18"/>
        </w:rPr>
        <w:t>A dot indicates missing data.</w:t>
      </w:r>
      <w:r w:rsidRPr="00DF0CD6">
        <w:rPr>
          <w:sz w:val="20"/>
          <w:szCs w:val="20"/>
        </w:rPr>
        <w:t xml:space="preserve"> </w:t>
      </w:r>
      <w:r w:rsidRPr="00DF0CD6">
        <w:rPr>
          <w:sz w:val="20"/>
          <w:szCs w:val="20"/>
        </w:rPr>
        <w:br w:type="page"/>
      </w:r>
    </w:p>
    <w:p w:rsidR="006357C5" w:rsidRPr="00DF0CD6" w:rsidRDefault="006357C5" w:rsidP="006357C5">
      <w:pPr>
        <w:spacing w:line="360" w:lineRule="auto"/>
        <w:rPr>
          <w:rFonts w:ascii="Georgia" w:hAnsi="Georgia"/>
          <w:sz w:val="20"/>
          <w:szCs w:val="20"/>
        </w:rPr>
        <w:sectPr w:rsidR="006357C5" w:rsidRPr="00DF0CD6" w:rsidSect="009F5024">
          <w:pgSz w:w="15840" w:h="12240" w:orient="landscape"/>
          <w:pgMar w:top="1440" w:right="450" w:bottom="1440" w:left="1440" w:header="720" w:footer="720" w:gutter="0"/>
          <w:cols w:space="720"/>
          <w:docGrid w:linePitch="360"/>
        </w:sectPr>
      </w:pPr>
    </w:p>
    <w:p w:rsidR="006357C5" w:rsidRDefault="006357C5" w:rsidP="006357C5">
      <w:pPr>
        <w:pStyle w:val="Heading2"/>
      </w:pPr>
      <w:bookmarkStart w:id="46" w:name="_Toc312158932"/>
      <w:bookmarkStart w:id="47" w:name="_Toc315363050"/>
      <w:bookmarkStart w:id="48" w:name="_Toc327186207"/>
      <w:bookmarkStart w:id="49" w:name="_Toc328573831"/>
      <w:bookmarkStart w:id="50" w:name="_Toc345342924"/>
      <w:r w:rsidRPr="00575059">
        <w:lastRenderedPageBreak/>
        <w:t>Australia</w:t>
      </w:r>
      <w:bookmarkEnd w:id="46"/>
      <w:bookmarkEnd w:id="47"/>
      <w:bookmarkEnd w:id="48"/>
      <w:bookmarkEnd w:id="49"/>
      <w:bookmarkEnd w:id="50"/>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Georgia" w:hAnsi="Georgia"/>
          <w:b/>
          <w:sz w:val="20"/>
          <w:szCs w:val="20"/>
        </w:rPr>
      </w:pPr>
    </w:p>
    <w:p w:rsidR="006357C5" w:rsidRPr="00801949" w:rsidRDefault="006357C5" w:rsidP="006357C5">
      <w:pPr>
        <w:rPr>
          <w:b/>
        </w:rPr>
      </w:pPr>
      <w:r w:rsidRPr="00801949">
        <w:rPr>
          <w:b/>
        </w:rPr>
        <w:t>A) Overview of tertiary education financing</w:t>
      </w:r>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eorgia" w:hAnsi="Georgia"/>
          <w:b/>
          <w:sz w:val="20"/>
          <w:szCs w:val="20"/>
        </w:rPr>
      </w:pPr>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DF0CD6">
        <w:t xml:space="preserve">Australia introduced the Higher Education Contribution Scheme (HECS), the core of its current higher education funding system, in 1989. To allow the expansion of the higher education system, HECS established the principle of cost-sharing between students and the government by introducing compulsory student contributions towards the costs of higher education. HECS was complemented by the introduction of publicly-funded student loans to prevent income barriers from hindering access to higher education and thus inequality and underinvestment problems. </w:t>
      </w:r>
    </w:p>
    <w:p w:rsidR="006357C5"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p>
    <w:p w:rsidR="006357C5"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iCs/>
        </w:rPr>
      </w:pPr>
      <w:r w:rsidRPr="00DF0CD6">
        <w:rPr>
          <w:iCs/>
        </w:rPr>
        <w:t xml:space="preserve">Table </w:t>
      </w:r>
      <w:r>
        <w:rPr>
          <w:iCs/>
        </w:rPr>
        <w:t>50</w:t>
      </w:r>
      <w:r w:rsidRPr="00DF0CD6">
        <w:rPr>
          <w:iCs/>
        </w:rPr>
        <w:t xml:space="preserve"> reports some basic facts corresponding to Australia, which will allow us to frame the evidence about its tertiary education finance and specifically its student aid system. Annex 2 presents this and additional data in the context of international comparison with other OECD economies. </w:t>
      </w:r>
    </w:p>
    <w:p w:rsidR="006357C5" w:rsidRDefault="006357C5" w:rsidP="006357C5">
      <w:pPr>
        <w:pStyle w:val="TableHeading"/>
      </w:pPr>
      <w:bookmarkStart w:id="51" w:name="_Toc328382212"/>
      <w:bookmarkStart w:id="52" w:name="_Toc328742896"/>
      <w:r w:rsidRPr="00DF0CD6">
        <w:t xml:space="preserve">Table </w:t>
      </w:r>
      <w:r>
        <w:t>50:</w:t>
      </w:r>
      <w:r w:rsidRPr="00DF0CD6">
        <w:t xml:space="preserve">  Australia: Basic facts</w:t>
      </w:r>
      <w:bookmarkEnd w:id="51"/>
      <w:bookmarkEnd w:id="52"/>
    </w:p>
    <w:p w:rsidR="006357C5" w:rsidRPr="00DF0CD6" w:rsidRDefault="006357C5" w:rsidP="006357C5">
      <w:pPr>
        <w:pStyle w:val="TableHeading"/>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09"/>
        <w:gridCol w:w="1089"/>
      </w:tblGrid>
      <w:tr w:rsidR="006357C5" w:rsidRPr="00DC71B4" w:rsidTr="002554CF">
        <w:trPr>
          <w:jc w:val="center"/>
        </w:trPr>
        <w:tc>
          <w:tcPr>
            <w:tcW w:w="810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Population (millions) (2010)</w:t>
            </w:r>
          </w:p>
        </w:tc>
        <w:tc>
          <w:tcPr>
            <w:tcW w:w="108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22.34</w:t>
            </w:r>
          </w:p>
        </w:tc>
      </w:tr>
      <w:tr w:rsidR="006357C5" w:rsidRPr="00DC71B4" w:rsidTr="002554CF">
        <w:trPr>
          <w:jc w:val="center"/>
        </w:trPr>
        <w:tc>
          <w:tcPr>
            <w:tcW w:w="810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GDP per capita (US$, current prices and PPP) (2010)</w:t>
            </w:r>
          </w:p>
        </w:tc>
        <w:tc>
          <w:tcPr>
            <w:tcW w:w="108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40,644</w:t>
            </w:r>
          </w:p>
        </w:tc>
      </w:tr>
      <w:tr w:rsidR="006357C5" w:rsidRPr="00DC71B4" w:rsidTr="002554CF">
        <w:trPr>
          <w:jc w:val="center"/>
        </w:trPr>
        <w:tc>
          <w:tcPr>
            <w:tcW w:w="810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Gini coefficient (late 2000’s)</w:t>
            </w:r>
          </w:p>
        </w:tc>
        <w:tc>
          <w:tcPr>
            <w:tcW w:w="108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0.34</w:t>
            </w:r>
          </w:p>
        </w:tc>
      </w:tr>
      <w:tr w:rsidR="006357C5" w:rsidRPr="00DC71B4" w:rsidTr="002554CF">
        <w:trPr>
          <w:jc w:val="center"/>
        </w:trPr>
        <w:tc>
          <w:tcPr>
            <w:tcW w:w="810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Total tax revenue as a percentage of GDP (2010)</w:t>
            </w:r>
          </w:p>
        </w:tc>
        <w:tc>
          <w:tcPr>
            <w:tcW w:w="108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25.9</w:t>
            </w:r>
          </w:p>
        </w:tc>
      </w:tr>
      <w:tr w:rsidR="006357C5" w:rsidRPr="00DC71B4" w:rsidTr="002554CF">
        <w:trPr>
          <w:jc w:val="center"/>
        </w:trPr>
        <w:tc>
          <w:tcPr>
            <w:tcW w:w="810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Public social expenditure as a percentage of GDP (2007)</w:t>
            </w:r>
          </w:p>
        </w:tc>
        <w:tc>
          <w:tcPr>
            <w:tcW w:w="108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16.01</w:t>
            </w:r>
          </w:p>
        </w:tc>
      </w:tr>
      <w:tr w:rsidR="006357C5" w:rsidRPr="00DC71B4" w:rsidTr="002554CF">
        <w:trPr>
          <w:jc w:val="center"/>
        </w:trPr>
        <w:tc>
          <w:tcPr>
            <w:tcW w:w="810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Public expenditure on tertiary education as a percentage of GDP (2008)</w:t>
            </w:r>
          </w:p>
        </w:tc>
        <w:tc>
          <w:tcPr>
            <w:tcW w:w="108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0.67</w:t>
            </w:r>
          </w:p>
        </w:tc>
      </w:tr>
      <w:tr w:rsidR="006357C5" w:rsidRPr="00DC71B4" w:rsidTr="002554CF">
        <w:trPr>
          <w:jc w:val="center"/>
        </w:trPr>
        <w:tc>
          <w:tcPr>
            <w:tcW w:w="810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Private expenditure on tertiary education as a percentage of GDP (2008)</w:t>
            </w:r>
          </w:p>
        </w:tc>
        <w:tc>
          <w:tcPr>
            <w:tcW w:w="108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0.82</w:t>
            </w:r>
          </w:p>
        </w:tc>
      </w:tr>
      <w:tr w:rsidR="006357C5" w:rsidRPr="00DC71B4" w:rsidTr="002554CF">
        <w:trPr>
          <w:jc w:val="center"/>
        </w:trPr>
        <w:tc>
          <w:tcPr>
            <w:tcW w:w="810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Total number of students enrolled in tertiary education institutions, both public and private (in millions) (2009)</w:t>
            </w:r>
          </w:p>
        </w:tc>
        <w:tc>
          <w:tcPr>
            <w:tcW w:w="108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1.20</w:t>
            </w:r>
          </w:p>
        </w:tc>
      </w:tr>
      <w:tr w:rsidR="006357C5" w:rsidRPr="00DC71B4" w:rsidTr="002554CF">
        <w:trPr>
          <w:jc w:val="center"/>
        </w:trPr>
        <w:tc>
          <w:tcPr>
            <w:tcW w:w="810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Proportion of students who benefit from public loans and/or scholarships/grants (2008-2009)</w:t>
            </w:r>
          </w:p>
        </w:tc>
        <w:tc>
          <w:tcPr>
            <w:tcW w:w="108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81.2</w:t>
            </w:r>
          </w:p>
        </w:tc>
      </w:tr>
      <w:tr w:rsidR="006357C5" w:rsidRPr="00DC71B4" w:rsidTr="002554CF">
        <w:trPr>
          <w:jc w:val="center"/>
        </w:trPr>
        <w:tc>
          <w:tcPr>
            <w:tcW w:w="810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Student loans as a percentage of total public expenditure on tertiary education (2008)</w:t>
            </w:r>
          </w:p>
        </w:tc>
        <w:tc>
          <w:tcPr>
            <w:tcW w:w="108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21.3</w:t>
            </w:r>
          </w:p>
        </w:tc>
      </w:tr>
      <w:tr w:rsidR="006357C5" w:rsidRPr="00DC71B4" w:rsidTr="002554CF">
        <w:trPr>
          <w:jc w:val="center"/>
        </w:trPr>
        <w:tc>
          <w:tcPr>
            <w:tcW w:w="810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Scholarships and other grants to households as percentage of total public expenditure on tertiary education (2008)</w:t>
            </w:r>
          </w:p>
        </w:tc>
        <w:tc>
          <w:tcPr>
            <w:tcW w:w="1089"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iCs/>
                <w:sz w:val="20"/>
                <w:szCs w:val="20"/>
              </w:rPr>
            </w:pPr>
            <w:r w:rsidRPr="00DC71B4">
              <w:rPr>
                <w:iCs/>
                <w:sz w:val="20"/>
                <w:szCs w:val="20"/>
              </w:rPr>
              <w:t>10.6</w:t>
            </w:r>
          </w:p>
        </w:tc>
      </w:tr>
    </w:tbl>
    <w:p w:rsidR="006357C5"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iCs/>
          <w:sz w:val="18"/>
          <w:szCs w:val="18"/>
        </w:rPr>
      </w:pPr>
      <w:r>
        <w:rPr>
          <w:iCs/>
          <w:sz w:val="18"/>
          <w:szCs w:val="18"/>
        </w:rPr>
        <w:t xml:space="preserve"> </w:t>
      </w:r>
      <w:r w:rsidRPr="009F5024">
        <w:rPr>
          <w:iCs/>
          <w:sz w:val="18"/>
          <w:szCs w:val="18"/>
          <w:u w:val="single"/>
        </w:rPr>
        <w:t>Source:</w:t>
      </w:r>
      <w:r w:rsidRPr="00575059">
        <w:rPr>
          <w:iCs/>
          <w:sz w:val="18"/>
          <w:szCs w:val="18"/>
        </w:rPr>
        <w:t xml:space="preserve"> OECD</w:t>
      </w:r>
    </w:p>
    <w:p w:rsidR="006357C5"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DF0CD6">
        <w:t xml:space="preserve">Those tertiary education institutions that receive funds from the major public program for supporting teaching (the Commonwealth Grant Scheme) enters into a funding agreement with the Government. These agreements allow the Government of Australia to set targets for those places that are being funded, altogether with the corresponding tertiary education institution. </w:t>
      </w:r>
    </w:p>
    <w:p w:rsidR="006357C5" w:rsidRPr="00DF0CD6" w:rsidRDefault="006357C5" w:rsidP="006357C5">
      <w:pPr>
        <w:jc w:val="both"/>
        <w:rPr>
          <w:b/>
        </w:rPr>
      </w:pPr>
      <w:r w:rsidRPr="00DF0CD6">
        <w:rPr>
          <w:b/>
        </w:rPr>
        <w:br w:type="page"/>
      </w:r>
    </w:p>
    <w:p w:rsidR="006357C5" w:rsidRDefault="006357C5" w:rsidP="006357C5">
      <w:pPr>
        <w:rPr>
          <w:b/>
        </w:rPr>
      </w:pPr>
      <w:r w:rsidRPr="00801949">
        <w:rPr>
          <w:b/>
        </w:rPr>
        <w:lastRenderedPageBreak/>
        <w:t>B) Allocation of the costs of tertiary education between private and public actors</w:t>
      </w:r>
    </w:p>
    <w:p w:rsidR="006357C5" w:rsidRPr="00801949" w:rsidRDefault="006357C5" w:rsidP="006357C5">
      <w:pPr>
        <w:rPr>
          <w:b/>
        </w:rPr>
      </w:pPr>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DF0CD6">
        <w:t xml:space="preserve">Although there has been an expansion of private provision of higher education in the past decades, most Australian students are enrolled in public institutions. However, all students contribute to the costs of studying, either through up-front payments or deferred contributions to repay their student loans. Australia is thus one of the OECD countries with the highest level of household contributions to the cost of tertiary education, at 39.8 percent in 2007 – only behind the United States (41.2), Japan (50.7), the United Kingdom (51.5), South Korea (52.1) and the great outlier, Chile (79.3) (OECD 2011). </w:t>
      </w:r>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p>
    <w:p w:rsidR="006357C5" w:rsidRPr="00801949" w:rsidRDefault="006357C5" w:rsidP="006357C5">
      <w:pPr>
        <w:rPr>
          <w:b/>
        </w:rPr>
      </w:pPr>
      <w:r w:rsidRPr="00801949">
        <w:rPr>
          <w:b/>
        </w:rPr>
        <w:t>C) Analysis of the student aid system and how it helps public actors cover costs of tertiary education</w:t>
      </w:r>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b/>
        </w:rPr>
      </w:pPr>
    </w:p>
    <w:p w:rsidR="006357C5" w:rsidRDefault="006357C5" w:rsidP="006357C5">
      <w:pPr>
        <w:jc w:val="both"/>
      </w:pPr>
      <w:r w:rsidRPr="00DF0CD6">
        <w:t xml:space="preserve">Through the Commonwealth Grants Scheme, the Australian Government allocates funds to support teaching costs to the 37 public universities and 2 self-accrediting higher education providers. A part of these funds is also allocated to private institutions that provide education in areas of national priority. The places supported through the Commonwealth Grant Scheme are called Commonwealth Supported Places, the number of which is capped by the Government annually. Students enrolled in these places (which are allocated on the basis of previous academic merit) are then required to pay contribution amounts for their studies, which are determined by higher education providers within the limits set by the Australian Government (see Table </w:t>
      </w:r>
      <w:r>
        <w:t>54</w:t>
      </w:r>
      <w:r w:rsidRPr="00DF0CD6">
        <w:t xml:space="preserve"> below).</w:t>
      </w:r>
      <w:r>
        <w:t xml:space="preserve"> </w:t>
      </w:r>
      <w:r w:rsidRPr="00DF0CD6">
        <w:t>Australian citizens, New Zealand citizens and permanent visa holders are eligible to enroll in these places. Most Australian undergraduate students at Australian universities study in Commonwealth supported places, which entails a substantial government subsidy to the cost of their education. However, Commonwealth supported places are not available at most private universities, which are fee-paying institutions</w:t>
      </w:r>
      <w:r w:rsidRPr="00DF0CD6">
        <w:rPr>
          <w:rStyle w:val="FootnoteReference"/>
          <w:rFonts w:cs="Arial"/>
        </w:rPr>
        <w:footnoteReference w:id="4"/>
      </w:r>
      <w:r w:rsidRPr="00DF0CD6">
        <w:t xml:space="preserve">. </w:t>
      </w:r>
    </w:p>
    <w:p w:rsidR="006357C5" w:rsidRDefault="006357C5" w:rsidP="006357C5">
      <w:pPr>
        <w:jc w:val="both"/>
      </w:pPr>
    </w:p>
    <w:p w:rsidR="006357C5" w:rsidRDefault="006357C5" w:rsidP="006357C5">
      <w:pPr>
        <w:jc w:val="both"/>
      </w:pPr>
      <w:r w:rsidRPr="00DF0CD6">
        <w:t xml:space="preserve">In addition to Commonwealth Supported Places, public and private institutions offer full-fee paying places. Students can access public student loans to finance the costs of studying, both in Commonwealth Supported Places and full-fee paying places. Both Commonwealth supported students and fee-paying students can access student financial aid through the Higher Education Loan Program (HELP), which allows eligible students (Australian citizens and permanent humanitarian visa holders) to defer their student contribution through a loan and repay it later through the taxation system. Table </w:t>
      </w:r>
      <w:r>
        <w:t>51</w:t>
      </w:r>
      <w:r w:rsidRPr="00DF0CD6">
        <w:t xml:space="preserve"> summarizes the three types of loan schemes available under HELP.</w:t>
      </w:r>
    </w:p>
    <w:p w:rsidR="006357C5" w:rsidRPr="00DF0CD6" w:rsidRDefault="006357C5" w:rsidP="006357C5">
      <w:pPr>
        <w:jc w:val="both"/>
      </w:pPr>
      <w:r w:rsidRPr="00DF0CD6">
        <w:br w:type="page"/>
      </w:r>
    </w:p>
    <w:p w:rsidR="006357C5" w:rsidRDefault="006357C5" w:rsidP="006357C5">
      <w:pPr>
        <w:pStyle w:val="TableHeading"/>
      </w:pPr>
      <w:bookmarkStart w:id="53" w:name="_Ref175982834"/>
      <w:bookmarkStart w:id="54" w:name="_Toc328382213"/>
      <w:bookmarkStart w:id="55" w:name="_Toc328742897"/>
      <w:r w:rsidRPr="00DF0CD6">
        <w:lastRenderedPageBreak/>
        <w:t>Table</w:t>
      </w:r>
      <w:bookmarkEnd w:id="53"/>
      <w:r w:rsidRPr="00DF0CD6">
        <w:t xml:space="preserve"> </w:t>
      </w:r>
      <w:r>
        <w:t>51</w:t>
      </w:r>
      <w:r w:rsidRPr="00DF0CD6">
        <w:t>: Components of the Higher Education Loan Program (HELP)</w:t>
      </w:r>
      <w:bookmarkEnd w:id="54"/>
      <w:bookmarkEnd w:id="55"/>
    </w:p>
    <w:p w:rsidR="006357C5" w:rsidRDefault="006357C5" w:rsidP="006357C5">
      <w:pPr>
        <w:pStyle w:val="TableHeading"/>
      </w:pPr>
    </w:p>
    <w:tbl>
      <w:tblPr>
        <w:tblW w:w="0" w:type="auto"/>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30"/>
        <w:gridCol w:w="7020"/>
      </w:tblGrid>
      <w:tr w:rsidR="006357C5" w:rsidRPr="00DC71B4" w:rsidTr="002554CF">
        <w:tc>
          <w:tcPr>
            <w:tcW w:w="1530" w:type="dxa"/>
            <w:shd w:val="clear" w:color="auto" w:fill="F2F2F2"/>
            <w:vAlign w:val="center"/>
          </w:tcPr>
          <w:p w:rsidR="006357C5" w:rsidRPr="00DC71B4" w:rsidRDefault="006357C5" w:rsidP="002554CF">
            <w:pPr>
              <w:rPr>
                <w:b/>
                <w:sz w:val="20"/>
                <w:szCs w:val="20"/>
              </w:rPr>
            </w:pPr>
            <w:r w:rsidRPr="00DC71B4">
              <w:rPr>
                <w:b/>
                <w:sz w:val="20"/>
                <w:szCs w:val="20"/>
              </w:rPr>
              <w:t>Scheme</w:t>
            </w:r>
          </w:p>
        </w:tc>
        <w:tc>
          <w:tcPr>
            <w:tcW w:w="7020" w:type="dxa"/>
            <w:shd w:val="clear" w:color="auto" w:fill="F2F2F2"/>
            <w:vAlign w:val="center"/>
          </w:tcPr>
          <w:p w:rsidR="006357C5" w:rsidRPr="00DC71B4" w:rsidRDefault="006357C5" w:rsidP="002554CF">
            <w:pPr>
              <w:rPr>
                <w:b/>
                <w:sz w:val="20"/>
                <w:szCs w:val="20"/>
              </w:rPr>
            </w:pPr>
            <w:r w:rsidRPr="00DC71B4">
              <w:rPr>
                <w:b/>
                <w:sz w:val="20"/>
                <w:szCs w:val="20"/>
              </w:rPr>
              <w:t>Target group</w:t>
            </w:r>
          </w:p>
        </w:tc>
      </w:tr>
      <w:tr w:rsidR="006357C5" w:rsidRPr="00DC71B4" w:rsidTr="002554CF">
        <w:tc>
          <w:tcPr>
            <w:tcW w:w="1530" w:type="dxa"/>
            <w:vAlign w:val="center"/>
          </w:tcPr>
          <w:p w:rsidR="006357C5" w:rsidRPr="00DC71B4" w:rsidRDefault="006357C5" w:rsidP="002554CF">
            <w:pPr>
              <w:rPr>
                <w:sz w:val="20"/>
                <w:szCs w:val="20"/>
              </w:rPr>
            </w:pPr>
            <w:r w:rsidRPr="00DC71B4">
              <w:rPr>
                <w:sz w:val="20"/>
                <w:szCs w:val="20"/>
              </w:rPr>
              <w:t>HECS-HELP</w:t>
            </w:r>
          </w:p>
        </w:tc>
        <w:tc>
          <w:tcPr>
            <w:tcW w:w="7020" w:type="dxa"/>
            <w:vAlign w:val="center"/>
          </w:tcPr>
          <w:p w:rsidR="006357C5" w:rsidRPr="00DC71B4" w:rsidRDefault="006357C5" w:rsidP="002554CF">
            <w:pPr>
              <w:rPr>
                <w:sz w:val="20"/>
                <w:szCs w:val="20"/>
              </w:rPr>
            </w:pPr>
            <w:r w:rsidRPr="00DC71B4">
              <w:rPr>
                <w:sz w:val="20"/>
                <w:szCs w:val="20"/>
              </w:rPr>
              <w:t>Students enrolled in Commonwealth supported places. The loan covers part or all of the students’ contributions to their studies.</w:t>
            </w:r>
          </w:p>
        </w:tc>
      </w:tr>
      <w:tr w:rsidR="006357C5" w:rsidRPr="00DC71B4" w:rsidTr="002554CF">
        <w:tc>
          <w:tcPr>
            <w:tcW w:w="1530" w:type="dxa"/>
            <w:vAlign w:val="center"/>
          </w:tcPr>
          <w:p w:rsidR="006357C5" w:rsidRPr="00DC71B4" w:rsidRDefault="006357C5" w:rsidP="002554CF">
            <w:pPr>
              <w:rPr>
                <w:sz w:val="20"/>
                <w:szCs w:val="20"/>
              </w:rPr>
            </w:pPr>
            <w:r w:rsidRPr="00DC71B4">
              <w:rPr>
                <w:sz w:val="20"/>
                <w:szCs w:val="20"/>
              </w:rPr>
              <w:t>FEE-HELP</w:t>
            </w:r>
          </w:p>
        </w:tc>
        <w:tc>
          <w:tcPr>
            <w:tcW w:w="7020" w:type="dxa"/>
            <w:vAlign w:val="center"/>
          </w:tcPr>
          <w:p w:rsidR="006357C5" w:rsidRPr="00DC71B4" w:rsidRDefault="006357C5" w:rsidP="002554CF">
            <w:pPr>
              <w:rPr>
                <w:sz w:val="20"/>
                <w:szCs w:val="20"/>
              </w:rPr>
            </w:pPr>
            <w:r w:rsidRPr="00DC71B4">
              <w:rPr>
                <w:sz w:val="20"/>
                <w:szCs w:val="20"/>
              </w:rPr>
              <w:t>Students enrolled in fee-paying places. The loan can cover part or all of tuition fees.</w:t>
            </w:r>
          </w:p>
        </w:tc>
      </w:tr>
      <w:tr w:rsidR="006357C5" w:rsidRPr="00DC71B4" w:rsidTr="002554CF">
        <w:tc>
          <w:tcPr>
            <w:tcW w:w="1530" w:type="dxa"/>
            <w:vAlign w:val="center"/>
          </w:tcPr>
          <w:p w:rsidR="006357C5" w:rsidRPr="00DC71B4" w:rsidRDefault="006357C5" w:rsidP="002554CF">
            <w:pPr>
              <w:rPr>
                <w:sz w:val="20"/>
                <w:szCs w:val="20"/>
              </w:rPr>
            </w:pPr>
            <w:r w:rsidRPr="00DC71B4">
              <w:rPr>
                <w:sz w:val="20"/>
                <w:szCs w:val="20"/>
              </w:rPr>
              <w:t>OS-HELP</w:t>
            </w:r>
          </w:p>
        </w:tc>
        <w:tc>
          <w:tcPr>
            <w:tcW w:w="7020" w:type="dxa"/>
            <w:vAlign w:val="center"/>
          </w:tcPr>
          <w:p w:rsidR="006357C5" w:rsidRPr="00DC71B4" w:rsidRDefault="006357C5" w:rsidP="002554CF">
            <w:pPr>
              <w:rPr>
                <w:sz w:val="20"/>
                <w:szCs w:val="20"/>
              </w:rPr>
            </w:pPr>
            <w:r w:rsidRPr="00DC71B4">
              <w:rPr>
                <w:sz w:val="20"/>
                <w:szCs w:val="20"/>
              </w:rPr>
              <w:t>Students enrolled in Commonwealth supported places that undertake part of their studies overseas. The loan can cover accommodation and travel costs.</w:t>
            </w:r>
          </w:p>
        </w:tc>
      </w:tr>
    </w:tbl>
    <w:p w:rsidR="006357C5" w:rsidRPr="00DF0CD6" w:rsidRDefault="006357C5" w:rsidP="006357C5"/>
    <w:p w:rsidR="006357C5" w:rsidRPr="00DF0CD6" w:rsidRDefault="006357C5" w:rsidP="006357C5">
      <w:pPr>
        <w:jc w:val="both"/>
      </w:pPr>
      <w:r w:rsidRPr="00DF0CD6">
        <w:t>HECS-HELP is a loan scheme for students enrolled in Commonwealth Supported Places. A HECS-HELP loan covers all or part of their student contribution. FEE-HELP is a loan scheme that assists fee paying students enrolled at an eligible higher education provider or Open Universities Australia</w:t>
      </w:r>
      <w:r w:rsidRPr="00DF0CD6">
        <w:rPr>
          <w:rStyle w:val="FootnoteReference"/>
          <w:rFonts w:cs="Arial"/>
        </w:rPr>
        <w:footnoteReference w:id="5"/>
      </w:r>
      <w:r w:rsidRPr="00DF0CD6">
        <w:t xml:space="preserve"> to pay their tuition fees. Over their lifetime, a student may borrow an amount up to the FEE-HELP limit to pay tuition fees.</w:t>
      </w:r>
      <w:r w:rsidRPr="00DF0CD6">
        <w:rPr>
          <w:rStyle w:val="FootnoteReference"/>
          <w:rFonts w:cs="Arial"/>
        </w:rPr>
        <w:footnoteReference w:id="6"/>
      </w:r>
      <w:r w:rsidRPr="00DF0CD6">
        <w:t xml:space="preserve"> A loan fee of 25% applies to FEE</w:t>
      </w:r>
      <w:r w:rsidRPr="00DF0CD6">
        <w:rPr>
          <w:rFonts w:eastAsia="MS Mincho" w:hAnsi="MS Mincho" w:hint="eastAsia"/>
        </w:rPr>
        <w:t>‑</w:t>
      </w:r>
      <w:r w:rsidRPr="00DF0CD6">
        <w:t>HELP loans for undergraduate studies. A third scheme is the OS-HELP, which assists eligible Commonwealth supported undergraduate students at eligible Australian providers to undertake part of their study with overseas higher education institutions. OS-HELP provides students with a cash loan to cover expenses such as accommodation and travel. HELP is administered by the Department of Education, Employment and Workplace Relations; the Tax Office; and higher education providers. HELP debts are interest-free. However, a student’s accumulated HELP debt is indexed each year by adjusting it in line with changes in the cost of living (as measured by the Consumer Price Index, CPI).</w:t>
      </w:r>
    </w:p>
    <w:p w:rsidR="006357C5" w:rsidRPr="00DF0CD6" w:rsidRDefault="006357C5" w:rsidP="006357C5">
      <w:pPr>
        <w:jc w:val="both"/>
      </w:pPr>
    </w:p>
    <w:p w:rsidR="006357C5" w:rsidRPr="00DF0CD6" w:rsidRDefault="006357C5" w:rsidP="006357C5">
      <w:pPr>
        <w:jc w:val="both"/>
      </w:pPr>
      <w:r w:rsidRPr="00DF0CD6">
        <w:t xml:space="preserve">Table </w:t>
      </w:r>
      <w:r>
        <w:t>52</w:t>
      </w:r>
      <w:r w:rsidRPr="00DF0CD6">
        <w:t xml:space="preserve"> provides a schematic description of the Commonwealth assistance options available to Commonwealth supported, fee paying and overseas students, based on citizenship or residency status. </w:t>
      </w:r>
      <w:bookmarkStart w:id="56" w:name="_Ref176066185"/>
      <w:r w:rsidRPr="00DF0CD6">
        <w:t xml:space="preserve">Most domestic undergraduate students are eligible Under the HECS-HELP scheme, the Australian Government pays an amount for a student’s enrolment through the Commonwealth Grant Scheme. The amount it contributes depends on the ‘funding cluster’ in which each unit of study is classified and on the weight of the unit, namely the equivalent full-time student load (EFTSL) value of the unit in the course of study. This amount is paid directly to the higher education provider. Table </w:t>
      </w:r>
      <w:r>
        <w:t>53</w:t>
      </w:r>
      <w:r w:rsidRPr="00DF0CD6">
        <w:t xml:space="preserve"> shows the Commonwealth contribution amounts for one EFTSL in 2012. These amounts are indexed each year. The Australian Government also pays other grants to providers to support teaching and learning that include funding for capital development, equity programs and research training. </w:t>
      </w:r>
    </w:p>
    <w:p w:rsidR="006357C5" w:rsidRDefault="006357C5" w:rsidP="006357C5">
      <w:pPr>
        <w:pStyle w:val="TableHeading"/>
      </w:pPr>
      <w:r w:rsidRPr="00DF0CD6">
        <w:br w:type="page"/>
      </w:r>
      <w:bookmarkStart w:id="57" w:name="_Toc328382214"/>
      <w:bookmarkStart w:id="58" w:name="_Toc328742898"/>
      <w:r w:rsidRPr="00DF0CD6">
        <w:lastRenderedPageBreak/>
        <w:t xml:space="preserve">Table </w:t>
      </w:r>
      <w:bookmarkEnd w:id="56"/>
      <w:r>
        <w:t>52</w:t>
      </w:r>
      <w:r w:rsidRPr="00DF0CD6">
        <w:t>: Commonwealth assistance available in Australia</w:t>
      </w:r>
      <w:bookmarkEnd w:id="57"/>
      <w:bookmarkEnd w:id="58"/>
    </w:p>
    <w:p w:rsidR="006357C5" w:rsidRDefault="006357C5" w:rsidP="006357C5">
      <w:pPr>
        <w:pStyle w:val="TableHeading"/>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40" w:type="dxa"/>
          <w:left w:w="40" w:type="dxa"/>
          <w:bottom w:w="40" w:type="dxa"/>
          <w:right w:w="40" w:type="dxa"/>
        </w:tblCellMar>
        <w:tblLook w:val="0000" w:firstRow="0" w:lastRow="0" w:firstColumn="0" w:lastColumn="0" w:noHBand="0" w:noVBand="0"/>
      </w:tblPr>
      <w:tblGrid>
        <w:gridCol w:w="2313"/>
        <w:gridCol w:w="2174"/>
        <w:gridCol w:w="1305"/>
        <w:gridCol w:w="3648"/>
      </w:tblGrid>
      <w:tr w:rsidR="006357C5" w:rsidRPr="00DC71B4" w:rsidTr="002554CF">
        <w:trPr>
          <w:trHeight w:val="360"/>
          <w:jc w:val="center"/>
        </w:trPr>
        <w:tc>
          <w:tcPr>
            <w:tcW w:w="0" w:type="auto"/>
            <w:shd w:val="clear" w:color="auto" w:fill="F2F2F2"/>
            <w:vAlign w:val="center"/>
          </w:tcPr>
          <w:p w:rsidR="006357C5" w:rsidRPr="00DC71B4" w:rsidRDefault="006357C5" w:rsidP="002554CF">
            <w:pPr>
              <w:rPr>
                <w:sz w:val="20"/>
                <w:szCs w:val="20"/>
              </w:rPr>
            </w:pPr>
            <w:r w:rsidRPr="00DC71B4">
              <w:rPr>
                <w:b/>
                <w:sz w:val="20"/>
                <w:szCs w:val="20"/>
              </w:rPr>
              <w:t>Citizenship / residency status</w:t>
            </w:r>
          </w:p>
        </w:tc>
        <w:tc>
          <w:tcPr>
            <w:tcW w:w="0" w:type="auto"/>
            <w:shd w:val="clear" w:color="auto" w:fill="F2F2F2"/>
            <w:vAlign w:val="center"/>
          </w:tcPr>
          <w:p w:rsidR="006357C5" w:rsidRPr="00DC71B4" w:rsidRDefault="006357C5" w:rsidP="002554CF">
            <w:pPr>
              <w:rPr>
                <w:sz w:val="20"/>
                <w:szCs w:val="20"/>
              </w:rPr>
            </w:pPr>
            <w:r w:rsidRPr="00DC71B4">
              <w:rPr>
                <w:b/>
                <w:sz w:val="20"/>
                <w:szCs w:val="20"/>
              </w:rPr>
              <w:t>Commonwealth pays</w:t>
            </w:r>
          </w:p>
        </w:tc>
        <w:tc>
          <w:tcPr>
            <w:tcW w:w="0" w:type="auto"/>
            <w:shd w:val="clear" w:color="auto" w:fill="F2F2F2"/>
            <w:vAlign w:val="center"/>
          </w:tcPr>
          <w:p w:rsidR="006357C5" w:rsidRPr="00DC71B4" w:rsidRDefault="006357C5" w:rsidP="002554CF">
            <w:pPr>
              <w:rPr>
                <w:sz w:val="20"/>
                <w:szCs w:val="20"/>
              </w:rPr>
            </w:pPr>
            <w:r w:rsidRPr="00DC71B4">
              <w:rPr>
                <w:b/>
                <w:sz w:val="20"/>
                <w:szCs w:val="20"/>
              </w:rPr>
              <w:t>Student pays</w:t>
            </w:r>
          </w:p>
        </w:tc>
        <w:tc>
          <w:tcPr>
            <w:tcW w:w="0" w:type="auto"/>
            <w:shd w:val="clear" w:color="auto" w:fill="F2F2F2"/>
            <w:vAlign w:val="center"/>
          </w:tcPr>
          <w:p w:rsidR="006357C5" w:rsidRPr="00DC71B4" w:rsidRDefault="006357C5" w:rsidP="002554CF">
            <w:pPr>
              <w:rPr>
                <w:b/>
                <w:sz w:val="20"/>
                <w:szCs w:val="20"/>
              </w:rPr>
            </w:pPr>
            <w:r w:rsidRPr="00DC71B4">
              <w:rPr>
                <w:b/>
                <w:sz w:val="20"/>
                <w:szCs w:val="20"/>
              </w:rPr>
              <w:t>Payment options</w:t>
            </w:r>
          </w:p>
          <w:p w:rsidR="006357C5" w:rsidRPr="00DC71B4" w:rsidRDefault="006357C5" w:rsidP="002554CF">
            <w:pPr>
              <w:rPr>
                <w:sz w:val="20"/>
                <w:szCs w:val="20"/>
              </w:rPr>
            </w:pPr>
            <w:r w:rsidRPr="00DC71B4">
              <w:rPr>
                <w:b/>
                <w:sz w:val="20"/>
                <w:szCs w:val="20"/>
              </w:rPr>
              <w:t>(including loans)</w:t>
            </w:r>
          </w:p>
        </w:tc>
      </w:tr>
      <w:tr w:rsidR="006357C5" w:rsidRPr="00DC71B4" w:rsidTr="002554CF">
        <w:trPr>
          <w:trHeight w:val="317"/>
          <w:jc w:val="center"/>
        </w:trPr>
        <w:tc>
          <w:tcPr>
            <w:tcW w:w="0" w:type="auto"/>
            <w:gridSpan w:val="4"/>
            <w:shd w:val="clear" w:color="auto" w:fill="B3B3B3"/>
            <w:vAlign w:val="center"/>
          </w:tcPr>
          <w:p w:rsidR="006357C5" w:rsidRPr="00DC71B4" w:rsidRDefault="006357C5" w:rsidP="002554CF">
            <w:pPr>
              <w:rPr>
                <w:sz w:val="20"/>
                <w:szCs w:val="20"/>
              </w:rPr>
            </w:pPr>
            <w:r w:rsidRPr="00DC71B4">
              <w:rPr>
                <w:b/>
                <w:sz w:val="20"/>
                <w:szCs w:val="20"/>
              </w:rPr>
              <w:t>Commonwealth supported students</w:t>
            </w:r>
          </w:p>
        </w:tc>
      </w:tr>
      <w:tr w:rsidR="006357C5" w:rsidRPr="00DC71B4" w:rsidTr="002554CF">
        <w:trPr>
          <w:trHeight w:val="360"/>
          <w:jc w:val="center"/>
        </w:trPr>
        <w:tc>
          <w:tcPr>
            <w:tcW w:w="0" w:type="auto"/>
            <w:vAlign w:val="center"/>
          </w:tcPr>
          <w:p w:rsidR="006357C5" w:rsidRPr="00DC71B4" w:rsidRDefault="006357C5" w:rsidP="002554CF">
            <w:pPr>
              <w:rPr>
                <w:sz w:val="20"/>
                <w:szCs w:val="20"/>
              </w:rPr>
            </w:pPr>
            <w:r w:rsidRPr="00DC71B4">
              <w:rPr>
                <w:sz w:val="20"/>
                <w:szCs w:val="20"/>
              </w:rPr>
              <w:t>Australian citizens and permanent humanitarian visa holders</w:t>
            </w:r>
          </w:p>
        </w:tc>
        <w:tc>
          <w:tcPr>
            <w:tcW w:w="0" w:type="auto"/>
            <w:vAlign w:val="center"/>
          </w:tcPr>
          <w:p w:rsidR="006357C5" w:rsidRPr="00DC71B4" w:rsidRDefault="006357C5" w:rsidP="002554CF">
            <w:pPr>
              <w:rPr>
                <w:sz w:val="20"/>
                <w:szCs w:val="20"/>
              </w:rPr>
            </w:pPr>
            <w:r w:rsidRPr="00DC71B4">
              <w:rPr>
                <w:sz w:val="20"/>
                <w:szCs w:val="20"/>
              </w:rPr>
              <w:t>Commonwealth contribution and</w:t>
            </w:r>
          </w:p>
          <w:p w:rsidR="006357C5" w:rsidRPr="00DC71B4" w:rsidRDefault="006357C5" w:rsidP="002554CF">
            <w:pPr>
              <w:rPr>
                <w:sz w:val="20"/>
                <w:szCs w:val="20"/>
              </w:rPr>
            </w:pPr>
          </w:p>
          <w:p w:rsidR="006357C5" w:rsidRPr="00DC71B4" w:rsidRDefault="006357C5" w:rsidP="002554CF">
            <w:pPr>
              <w:rPr>
                <w:sz w:val="20"/>
                <w:szCs w:val="20"/>
              </w:rPr>
            </w:pPr>
            <w:r w:rsidRPr="00DC71B4">
              <w:rPr>
                <w:sz w:val="20"/>
                <w:szCs w:val="20"/>
              </w:rPr>
              <w:t>20% HECS-HELP discount for:</w:t>
            </w:r>
          </w:p>
          <w:p w:rsidR="006357C5" w:rsidRPr="00DC71B4" w:rsidRDefault="006357C5" w:rsidP="002554CF">
            <w:pPr>
              <w:rPr>
                <w:sz w:val="20"/>
                <w:szCs w:val="20"/>
              </w:rPr>
            </w:pPr>
            <w:r w:rsidRPr="00DC71B4">
              <w:rPr>
                <w:sz w:val="20"/>
                <w:szCs w:val="20"/>
              </w:rPr>
              <w:t>- full up front payments, or</w:t>
            </w:r>
          </w:p>
          <w:p w:rsidR="006357C5" w:rsidRPr="00DC71B4" w:rsidRDefault="006357C5" w:rsidP="002554CF">
            <w:pPr>
              <w:rPr>
                <w:sz w:val="20"/>
                <w:szCs w:val="20"/>
              </w:rPr>
            </w:pPr>
            <w:r w:rsidRPr="00DC71B4">
              <w:rPr>
                <w:sz w:val="20"/>
                <w:szCs w:val="20"/>
              </w:rPr>
              <w:t>- partial up front payments of $500 or more.</w:t>
            </w:r>
          </w:p>
        </w:tc>
        <w:tc>
          <w:tcPr>
            <w:tcW w:w="0" w:type="auto"/>
            <w:vAlign w:val="center"/>
          </w:tcPr>
          <w:p w:rsidR="006357C5" w:rsidRPr="00DC71B4" w:rsidRDefault="006357C5" w:rsidP="002554CF">
            <w:pPr>
              <w:rPr>
                <w:sz w:val="20"/>
                <w:szCs w:val="20"/>
              </w:rPr>
            </w:pPr>
            <w:r w:rsidRPr="00DC71B4">
              <w:rPr>
                <w:sz w:val="20"/>
                <w:szCs w:val="20"/>
              </w:rPr>
              <w:t>Student contribution</w:t>
            </w:r>
          </w:p>
        </w:tc>
        <w:tc>
          <w:tcPr>
            <w:tcW w:w="0" w:type="auto"/>
            <w:vAlign w:val="center"/>
          </w:tcPr>
          <w:p w:rsidR="006357C5" w:rsidRPr="00DC71B4" w:rsidRDefault="006357C5" w:rsidP="002554CF">
            <w:pPr>
              <w:rPr>
                <w:sz w:val="20"/>
                <w:szCs w:val="20"/>
              </w:rPr>
            </w:pPr>
            <w:r w:rsidRPr="00DC71B4">
              <w:rPr>
                <w:sz w:val="20"/>
                <w:szCs w:val="20"/>
              </w:rPr>
              <w:t>-HECS-HELP loan</w:t>
            </w:r>
          </w:p>
          <w:p w:rsidR="006357C5" w:rsidRPr="00DC71B4" w:rsidRDefault="006357C5" w:rsidP="002554CF">
            <w:pPr>
              <w:rPr>
                <w:sz w:val="20"/>
                <w:szCs w:val="20"/>
              </w:rPr>
            </w:pPr>
            <w:r w:rsidRPr="00DC71B4">
              <w:rPr>
                <w:sz w:val="20"/>
                <w:szCs w:val="20"/>
              </w:rPr>
              <w:t>-full up front payment (inc. 20% discount)</w:t>
            </w:r>
          </w:p>
          <w:p w:rsidR="006357C5" w:rsidRPr="00DC71B4" w:rsidRDefault="006357C5" w:rsidP="002554CF">
            <w:pPr>
              <w:rPr>
                <w:sz w:val="20"/>
                <w:szCs w:val="20"/>
              </w:rPr>
            </w:pPr>
            <w:r w:rsidRPr="00DC71B4">
              <w:rPr>
                <w:sz w:val="20"/>
                <w:szCs w:val="20"/>
              </w:rPr>
              <w:t>-partial up front payment (inc. 20% discount for payment of ≥$500) and HECS-HELP loan</w:t>
            </w:r>
          </w:p>
          <w:p w:rsidR="006357C5" w:rsidRPr="00DC71B4" w:rsidRDefault="006357C5" w:rsidP="002554CF">
            <w:pPr>
              <w:rPr>
                <w:sz w:val="20"/>
                <w:szCs w:val="20"/>
              </w:rPr>
            </w:pPr>
            <w:r w:rsidRPr="00DC71B4">
              <w:rPr>
                <w:sz w:val="20"/>
                <w:szCs w:val="20"/>
              </w:rPr>
              <w:t>-OS-HELP loan for overseas study.</w:t>
            </w:r>
          </w:p>
        </w:tc>
      </w:tr>
      <w:tr w:rsidR="006357C5" w:rsidRPr="00DC71B4" w:rsidTr="002554CF">
        <w:trPr>
          <w:trHeight w:val="360"/>
          <w:jc w:val="center"/>
        </w:trPr>
        <w:tc>
          <w:tcPr>
            <w:tcW w:w="0" w:type="auto"/>
            <w:vAlign w:val="center"/>
          </w:tcPr>
          <w:p w:rsidR="006357C5" w:rsidRPr="00DC71B4" w:rsidRDefault="006357C5" w:rsidP="002554CF">
            <w:pPr>
              <w:rPr>
                <w:sz w:val="20"/>
                <w:szCs w:val="20"/>
              </w:rPr>
            </w:pPr>
            <w:r w:rsidRPr="00DC71B4">
              <w:rPr>
                <w:sz w:val="20"/>
                <w:szCs w:val="20"/>
              </w:rPr>
              <w:t>New Zealand citizens and other permanent visa holders</w:t>
            </w:r>
          </w:p>
        </w:tc>
        <w:tc>
          <w:tcPr>
            <w:tcW w:w="0" w:type="auto"/>
            <w:vAlign w:val="center"/>
          </w:tcPr>
          <w:p w:rsidR="006357C5" w:rsidRPr="00DC71B4" w:rsidRDefault="006357C5" w:rsidP="002554CF">
            <w:pPr>
              <w:rPr>
                <w:sz w:val="20"/>
                <w:szCs w:val="20"/>
              </w:rPr>
            </w:pPr>
            <w:r w:rsidRPr="00DC71B4">
              <w:rPr>
                <w:sz w:val="20"/>
                <w:szCs w:val="20"/>
              </w:rPr>
              <w:t>Commonwealth contribution</w:t>
            </w:r>
          </w:p>
        </w:tc>
        <w:tc>
          <w:tcPr>
            <w:tcW w:w="0" w:type="auto"/>
            <w:vAlign w:val="center"/>
          </w:tcPr>
          <w:p w:rsidR="006357C5" w:rsidRPr="00DC71B4" w:rsidRDefault="006357C5" w:rsidP="002554CF">
            <w:pPr>
              <w:rPr>
                <w:sz w:val="20"/>
                <w:szCs w:val="20"/>
              </w:rPr>
            </w:pPr>
            <w:r w:rsidRPr="00DC71B4">
              <w:rPr>
                <w:sz w:val="20"/>
                <w:szCs w:val="20"/>
              </w:rPr>
              <w:t>Student contribution</w:t>
            </w:r>
          </w:p>
        </w:tc>
        <w:tc>
          <w:tcPr>
            <w:tcW w:w="0" w:type="auto"/>
            <w:vAlign w:val="center"/>
          </w:tcPr>
          <w:p w:rsidR="006357C5" w:rsidRPr="00DC71B4" w:rsidRDefault="006357C5" w:rsidP="002554CF">
            <w:pPr>
              <w:rPr>
                <w:sz w:val="20"/>
                <w:szCs w:val="20"/>
              </w:rPr>
            </w:pPr>
            <w:r w:rsidRPr="00DC71B4">
              <w:rPr>
                <w:sz w:val="20"/>
                <w:szCs w:val="20"/>
              </w:rPr>
              <w:t>No loans - full up front payment only.</w:t>
            </w:r>
          </w:p>
        </w:tc>
      </w:tr>
      <w:tr w:rsidR="006357C5" w:rsidRPr="00DC71B4" w:rsidTr="002554CF">
        <w:trPr>
          <w:trHeight w:val="331"/>
          <w:jc w:val="center"/>
        </w:trPr>
        <w:tc>
          <w:tcPr>
            <w:tcW w:w="0" w:type="auto"/>
            <w:gridSpan w:val="4"/>
            <w:shd w:val="clear" w:color="auto" w:fill="B3B3B3"/>
            <w:vAlign w:val="center"/>
          </w:tcPr>
          <w:p w:rsidR="006357C5" w:rsidRPr="00DC71B4" w:rsidRDefault="006357C5" w:rsidP="002554CF">
            <w:pPr>
              <w:rPr>
                <w:sz w:val="20"/>
                <w:szCs w:val="20"/>
              </w:rPr>
            </w:pPr>
            <w:r w:rsidRPr="00DC71B4">
              <w:rPr>
                <w:b/>
                <w:sz w:val="20"/>
                <w:szCs w:val="20"/>
              </w:rPr>
              <w:t>Fee paying (non-Commonwealth supported) students</w:t>
            </w:r>
          </w:p>
        </w:tc>
      </w:tr>
      <w:tr w:rsidR="006357C5" w:rsidRPr="00DC71B4" w:rsidTr="002554CF">
        <w:trPr>
          <w:trHeight w:val="300"/>
          <w:jc w:val="center"/>
        </w:trPr>
        <w:tc>
          <w:tcPr>
            <w:tcW w:w="0" w:type="auto"/>
            <w:vAlign w:val="center"/>
          </w:tcPr>
          <w:p w:rsidR="006357C5" w:rsidRPr="00DC71B4" w:rsidRDefault="006357C5" w:rsidP="002554CF">
            <w:pPr>
              <w:rPr>
                <w:sz w:val="20"/>
                <w:szCs w:val="20"/>
              </w:rPr>
            </w:pPr>
            <w:r w:rsidRPr="00DC71B4">
              <w:rPr>
                <w:sz w:val="20"/>
                <w:szCs w:val="20"/>
              </w:rPr>
              <w:t>Australian citizens and permanent humanitarian visa holders</w:t>
            </w:r>
          </w:p>
        </w:tc>
        <w:tc>
          <w:tcPr>
            <w:tcW w:w="0" w:type="auto"/>
            <w:vAlign w:val="center"/>
          </w:tcPr>
          <w:p w:rsidR="006357C5" w:rsidRPr="00DC71B4" w:rsidRDefault="006357C5" w:rsidP="002554CF">
            <w:pPr>
              <w:rPr>
                <w:sz w:val="20"/>
                <w:szCs w:val="20"/>
              </w:rPr>
            </w:pPr>
            <w:r w:rsidRPr="00DC71B4">
              <w:rPr>
                <w:sz w:val="20"/>
                <w:szCs w:val="20"/>
              </w:rPr>
              <w:t>No contribution</w:t>
            </w:r>
          </w:p>
        </w:tc>
        <w:tc>
          <w:tcPr>
            <w:tcW w:w="0" w:type="auto"/>
            <w:vAlign w:val="center"/>
          </w:tcPr>
          <w:p w:rsidR="006357C5" w:rsidRPr="00DC71B4" w:rsidRDefault="006357C5" w:rsidP="002554CF">
            <w:pPr>
              <w:rPr>
                <w:sz w:val="20"/>
                <w:szCs w:val="20"/>
              </w:rPr>
            </w:pPr>
            <w:r w:rsidRPr="00DC71B4">
              <w:rPr>
                <w:sz w:val="20"/>
                <w:szCs w:val="20"/>
              </w:rPr>
              <w:t>Tuition fees</w:t>
            </w:r>
          </w:p>
        </w:tc>
        <w:tc>
          <w:tcPr>
            <w:tcW w:w="0" w:type="auto"/>
            <w:vAlign w:val="center"/>
          </w:tcPr>
          <w:p w:rsidR="006357C5" w:rsidRPr="00DC71B4" w:rsidRDefault="006357C5" w:rsidP="002554CF">
            <w:pPr>
              <w:rPr>
                <w:sz w:val="20"/>
                <w:szCs w:val="20"/>
              </w:rPr>
            </w:pPr>
            <w:r w:rsidRPr="00DC71B4">
              <w:rPr>
                <w:sz w:val="20"/>
                <w:szCs w:val="20"/>
              </w:rPr>
              <w:t>- FEE-HELP loan</w:t>
            </w:r>
          </w:p>
          <w:p w:rsidR="006357C5" w:rsidRPr="00DC71B4" w:rsidRDefault="006357C5" w:rsidP="002554CF">
            <w:pPr>
              <w:rPr>
                <w:sz w:val="20"/>
                <w:szCs w:val="20"/>
              </w:rPr>
            </w:pPr>
            <w:r w:rsidRPr="00DC71B4">
              <w:rPr>
                <w:sz w:val="20"/>
                <w:szCs w:val="20"/>
              </w:rPr>
              <w:t>- Full or partial upfront payment</w:t>
            </w:r>
          </w:p>
        </w:tc>
      </w:tr>
      <w:tr w:rsidR="006357C5" w:rsidRPr="00DC71B4" w:rsidTr="002554CF">
        <w:trPr>
          <w:trHeight w:val="360"/>
          <w:jc w:val="center"/>
        </w:trPr>
        <w:tc>
          <w:tcPr>
            <w:tcW w:w="0" w:type="auto"/>
            <w:vAlign w:val="center"/>
          </w:tcPr>
          <w:p w:rsidR="006357C5" w:rsidRPr="00DC71B4" w:rsidRDefault="006357C5" w:rsidP="002554CF">
            <w:pPr>
              <w:rPr>
                <w:sz w:val="20"/>
                <w:szCs w:val="20"/>
              </w:rPr>
            </w:pPr>
            <w:r w:rsidRPr="00DC71B4">
              <w:rPr>
                <w:sz w:val="20"/>
                <w:szCs w:val="20"/>
              </w:rPr>
              <w:t>New Zealand citizens and other permanent visa holders</w:t>
            </w:r>
          </w:p>
        </w:tc>
        <w:tc>
          <w:tcPr>
            <w:tcW w:w="0" w:type="auto"/>
            <w:vAlign w:val="center"/>
          </w:tcPr>
          <w:p w:rsidR="006357C5" w:rsidRPr="00DC71B4" w:rsidRDefault="006357C5" w:rsidP="002554CF">
            <w:pPr>
              <w:rPr>
                <w:sz w:val="20"/>
                <w:szCs w:val="20"/>
              </w:rPr>
            </w:pPr>
            <w:r w:rsidRPr="00DC71B4">
              <w:rPr>
                <w:sz w:val="20"/>
                <w:szCs w:val="20"/>
              </w:rPr>
              <w:t>No contribution</w:t>
            </w:r>
          </w:p>
        </w:tc>
        <w:tc>
          <w:tcPr>
            <w:tcW w:w="0" w:type="auto"/>
            <w:vAlign w:val="center"/>
          </w:tcPr>
          <w:p w:rsidR="006357C5" w:rsidRPr="00DC71B4" w:rsidRDefault="006357C5" w:rsidP="002554CF">
            <w:pPr>
              <w:rPr>
                <w:sz w:val="20"/>
                <w:szCs w:val="20"/>
              </w:rPr>
            </w:pPr>
            <w:r w:rsidRPr="00DC71B4">
              <w:rPr>
                <w:sz w:val="20"/>
                <w:szCs w:val="20"/>
              </w:rPr>
              <w:t>Tuition fees</w:t>
            </w:r>
          </w:p>
        </w:tc>
        <w:tc>
          <w:tcPr>
            <w:tcW w:w="0" w:type="auto"/>
            <w:vAlign w:val="center"/>
          </w:tcPr>
          <w:p w:rsidR="006357C5" w:rsidRPr="00DC71B4" w:rsidRDefault="006357C5" w:rsidP="002554CF">
            <w:pPr>
              <w:rPr>
                <w:sz w:val="20"/>
                <w:szCs w:val="20"/>
              </w:rPr>
            </w:pPr>
          </w:p>
          <w:p w:rsidR="006357C5" w:rsidRPr="00DC71B4" w:rsidRDefault="006357C5" w:rsidP="002554CF">
            <w:pPr>
              <w:rPr>
                <w:sz w:val="20"/>
                <w:szCs w:val="20"/>
              </w:rPr>
            </w:pPr>
            <w:r w:rsidRPr="00DC71B4">
              <w:rPr>
                <w:sz w:val="20"/>
                <w:szCs w:val="20"/>
              </w:rPr>
              <w:t>-No loans - full upfront payment only.</w:t>
            </w:r>
          </w:p>
          <w:p w:rsidR="006357C5" w:rsidRPr="00DC71B4" w:rsidRDefault="006357C5" w:rsidP="002554CF">
            <w:pPr>
              <w:rPr>
                <w:sz w:val="20"/>
                <w:szCs w:val="20"/>
              </w:rPr>
            </w:pPr>
            <w:r w:rsidRPr="00DC71B4">
              <w:rPr>
                <w:sz w:val="20"/>
                <w:szCs w:val="20"/>
              </w:rPr>
              <w:t>-Eligible permanent visa holders may receive a FEE-HELP loan for bridging study for overseas-trained professionals.</w:t>
            </w:r>
          </w:p>
        </w:tc>
      </w:tr>
    </w:tbl>
    <w:p w:rsidR="006357C5" w:rsidRPr="000B0676" w:rsidRDefault="006357C5" w:rsidP="006357C5">
      <w:pPr>
        <w:rPr>
          <w:sz w:val="20"/>
          <w:szCs w:val="20"/>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40" w:type="dxa"/>
          <w:left w:w="40" w:type="dxa"/>
          <w:bottom w:w="40" w:type="dxa"/>
          <w:right w:w="40" w:type="dxa"/>
        </w:tblCellMar>
        <w:tblLook w:val="0000" w:firstRow="0" w:lastRow="0" w:firstColumn="0" w:lastColumn="0" w:noHBand="0" w:noVBand="0"/>
      </w:tblPr>
      <w:tblGrid>
        <w:gridCol w:w="5823"/>
        <w:gridCol w:w="1282"/>
        <w:gridCol w:w="1553"/>
        <w:gridCol w:w="782"/>
      </w:tblGrid>
      <w:tr w:rsidR="006357C5" w:rsidRPr="00DC71B4" w:rsidTr="002554CF">
        <w:trPr>
          <w:trHeight w:val="284"/>
          <w:jc w:val="center"/>
        </w:trPr>
        <w:tc>
          <w:tcPr>
            <w:tcW w:w="0" w:type="auto"/>
            <w:gridSpan w:val="4"/>
            <w:shd w:val="clear" w:color="auto" w:fill="B3B3B3"/>
            <w:vAlign w:val="center"/>
          </w:tcPr>
          <w:p w:rsidR="006357C5" w:rsidRPr="00DC71B4" w:rsidRDefault="006357C5" w:rsidP="002554CF">
            <w:pPr>
              <w:rPr>
                <w:sz w:val="20"/>
                <w:szCs w:val="20"/>
              </w:rPr>
            </w:pPr>
            <w:r w:rsidRPr="00DC71B4">
              <w:rPr>
                <w:b/>
                <w:sz w:val="20"/>
                <w:szCs w:val="20"/>
              </w:rPr>
              <w:t>Overseas students</w:t>
            </w:r>
          </w:p>
        </w:tc>
      </w:tr>
      <w:tr w:rsidR="006357C5" w:rsidRPr="00DC71B4" w:rsidTr="002554CF">
        <w:trPr>
          <w:trHeight w:val="360"/>
          <w:jc w:val="center"/>
        </w:trPr>
        <w:tc>
          <w:tcPr>
            <w:tcW w:w="0" w:type="auto"/>
            <w:vAlign w:val="center"/>
          </w:tcPr>
          <w:p w:rsidR="006357C5" w:rsidRPr="00DC71B4" w:rsidRDefault="006357C5" w:rsidP="002554CF">
            <w:pPr>
              <w:rPr>
                <w:sz w:val="20"/>
                <w:szCs w:val="20"/>
              </w:rPr>
            </w:pPr>
            <w:r w:rsidRPr="00DC71B4">
              <w:rPr>
                <w:sz w:val="20"/>
                <w:szCs w:val="20"/>
              </w:rPr>
              <w:t>Foreign citizens who do not hold an Australian permanent visa, temporary visa holders, provisional visa holders</w:t>
            </w:r>
          </w:p>
        </w:tc>
        <w:tc>
          <w:tcPr>
            <w:tcW w:w="0" w:type="auto"/>
            <w:vAlign w:val="center"/>
          </w:tcPr>
          <w:p w:rsidR="006357C5" w:rsidRPr="00DC71B4" w:rsidRDefault="006357C5" w:rsidP="002554CF">
            <w:pPr>
              <w:rPr>
                <w:sz w:val="20"/>
                <w:szCs w:val="20"/>
              </w:rPr>
            </w:pPr>
            <w:r w:rsidRPr="00DC71B4">
              <w:rPr>
                <w:sz w:val="20"/>
                <w:szCs w:val="20"/>
              </w:rPr>
              <w:t>No contribution</w:t>
            </w:r>
          </w:p>
        </w:tc>
        <w:tc>
          <w:tcPr>
            <w:tcW w:w="0" w:type="auto"/>
            <w:vAlign w:val="center"/>
          </w:tcPr>
          <w:p w:rsidR="006357C5" w:rsidRPr="00DC71B4" w:rsidRDefault="006357C5" w:rsidP="002554CF">
            <w:pPr>
              <w:rPr>
                <w:sz w:val="20"/>
                <w:szCs w:val="20"/>
              </w:rPr>
            </w:pPr>
            <w:r w:rsidRPr="00DC71B4">
              <w:rPr>
                <w:sz w:val="20"/>
                <w:szCs w:val="20"/>
              </w:rPr>
              <w:t>Overseas student fees</w:t>
            </w:r>
          </w:p>
        </w:tc>
        <w:tc>
          <w:tcPr>
            <w:tcW w:w="0" w:type="auto"/>
            <w:vAlign w:val="center"/>
          </w:tcPr>
          <w:p w:rsidR="006357C5" w:rsidRPr="00DC71B4" w:rsidRDefault="006357C5" w:rsidP="002554CF">
            <w:pPr>
              <w:rPr>
                <w:sz w:val="20"/>
                <w:szCs w:val="20"/>
              </w:rPr>
            </w:pPr>
            <w:r w:rsidRPr="00DC71B4">
              <w:rPr>
                <w:sz w:val="20"/>
                <w:szCs w:val="20"/>
              </w:rPr>
              <w:t>No loans.</w:t>
            </w:r>
          </w:p>
        </w:tc>
      </w:tr>
    </w:tbl>
    <w:p w:rsidR="006357C5" w:rsidRDefault="006357C5" w:rsidP="006357C5"/>
    <w:p w:rsidR="006357C5" w:rsidRDefault="006357C5" w:rsidP="006357C5">
      <w:r>
        <w:br w:type="page"/>
      </w:r>
    </w:p>
    <w:p w:rsidR="006357C5" w:rsidRDefault="006357C5" w:rsidP="006357C5">
      <w:pPr>
        <w:pStyle w:val="TableHeading"/>
      </w:pPr>
      <w:bookmarkStart w:id="59" w:name="_Toc328382215"/>
      <w:bookmarkStart w:id="60" w:name="_Toc328742899"/>
      <w:r w:rsidRPr="00DF0CD6">
        <w:lastRenderedPageBreak/>
        <w:t xml:space="preserve">Table </w:t>
      </w:r>
      <w:r>
        <w:t>53</w:t>
      </w:r>
      <w:r w:rsidRPr="00DF0CD6">
        <w:t>: 2012 Commonwealth contribution amounts for 1 EFTSL by funding cluster</w:t>
      </w:r>
      <w:bookmarkEnd w:id="59"/>
      <w:bookmarkEnd w:id="60"/>
    </w:p>
    <w:p w:rsidR="006357C5" w:rsidRPr="00DF0CD6" w:rsidRDefault="006357C5" w:rsidP="006357C5">
      <w:pPr>
        <w:pStyle w:val="TableHeading"/>
      </w:pPr>
    </w:p>
    <w:tbl>
      <w:tblPr>
        <w:tblW w:w="8855" w:type="dxa"/>
        <w:jc w:val="center"/>
        <w:tblInd w:w="-435" w:type="dxa"/>
        <w:tblLook w:val="00A0" w:firstRow="1" w:lastRow="0" w:firstColumn="1" w:lastColumn="0" w:noHBand="0" w:noVBand="0"/>
      </w:tblPr>
      <w:tblGrid>
        <w:gridCol w:w="5755"/>
        <w:gridCol w:w="3100"/>
      </w:tblGrid>
      <w:tr w:rsidR="006357C5" w:rsidRPr="00DC71B4" w:rsidTr="002554CF">
        <w:trPr>
          <w:trHeight w:val="255"/>
          <w:jc w:val="center"/>
        </w:trPr>
        <w:tc>
          <w:tcPr>
            <w:tcW w:w="5755" w:type="dxa"/>
            <w:tcBorders>
              <w:top w:val="single" w:sz="8" w:space="0" w:color="auto"/>
              <w:left w:val="single" w:sz="8" w:space="0" w:color="auto"/>
              <w:bottom w:val="single" w:sz="4" w:space="0" w:color="auto"/>
              <w:right w:val="single" w:sz="4" w:space="0" w:color="auto"/>
            </w:tcBorders>
            <w:shd w:val="clear" w:color="auto" w:fill="F2F2F2"/>
            <w:noWrap/>
          </w:tcPr>
          <w:p w:rsidR="006357C5" w:rsidRPr="00DC71B4" w:rsidRDefault="006357C5" w:rsidP="002554CF">
            <w:pPr>
              <w:spacing w:line="240" w:lineRule="auto"/>
              <w:rPr>
                <w:b/>
                <w:bCs/>
                <w:color w:val="000000"/>
                <w:sz w:val="20"/>
                <w:szCs w:val="20"/>
              </w:rPr>
            </w:pPr>
            <w:r w:rsidRPr="00DC71B4">
              <w:rPr>
                <w:b/>
                <w:bCs/>
                <w:color w:val="000000"/>
                <w:w w:val="91"/>
                <w:sz w:val="20"/>
                <w:szCs w:val="20"/>
              </w:rPr>
              <w:t>Funding cluster</w:t>
            </w:r>
          </w:p>
        </w:tc>
        <w:tc>
          <w:tcPr>
            <w:tcW w:w="3100" w:type="dxa"/>
            <w:tcBorders>
              <w:top w:val="single" w:sz="8" w:space="0" w:color="auto"/>
              <w:left w:val="nil"/>
              <w:bottom w:val="single" w:sz="4" w:space="0" w:color="auto"/>
              <w:right w:val="single" w:sz="8" w:space="0" w:color="auto"/>
            </w:tcBorders>
            <w:shd w:val="clear" w:color="auto" w:fill="F2F2F2"/>
            <w:noWrap/>
          </w:tcPr>
          <w:p w:rsidR="006357C5" w:rsidRPr="00DC71B4" w:rsidRDefault="006357C5" w:rsidP="002554CF">
            <w:pPr>
              <w:spacing w:line="240" w:lineRule="auto"/>
              <w:rPr>
                <w:b/>
                <w:bCs/>
                <w:color w:val="000000"/>
                <w:sz w:val="20"/>
                <w:szCs w:val="20"/>
              </w:rPr>
            </w:pPr>
            <w:r w:rsidRPr="00DC71B4">
              <w:rPr>
                <w:b/>
                <w:bCs/>
                <w:color w:val="000000"/>
                <w:spacing w:val="-2"/>
                <w:position w:val="10"/>
                <w:sz w:val="20"/>
                <w:szCs w:val="20"/>
              </w:rPr>
              <w:t>Commonwealth contribution*</w:t>
            </w:r>
          </w:p>
        </w:tc>
      </w:tr>
      <w:tr w:rsidR="006357C5" w:rsidRPr="00DC71B4" w:rsidTr="002554CF">
        <w:trPr>
          <w:trHeight w:val="255"/>
          <w:jc w:val="center"/>
        </w:trPr>
        <w:tc>
          <w:tcPr>
            <w:tcW w:w="5755" w:type="dxa"/>
            <w:tcBorders>
              <w:top w:val="nil"/>
              <w:left w:val="single" w:sz="8" w:space="0" w:color="auto"/>
              <w:bottom w:val="single" w:sz="4" w:space="0" w:color="auto"/>
              <w:right w:val="single" w:sz="4" w:space="0" w:color="auto"/>
            </w:tcBorders>
          </w:tcPr>
          <w:p w:rsidR="006357C5" w:rsidRPr="00DC71B4" w:rsidRDefault="006357C5" w:rsidP="002554CF">
            <w:pPr>
              <w:spacing w:line="240" w:lineRule="auto"/>
              <w:rPr>
                <w:color w:val="000000"/>
                <w:sz w:val="20"/>
                <w:szCs w:val="20"/>
              </w:rPr>
            </w:pPr>
            <w:r w:rsidRPr="00DC71B4">
              <w:rPr>
                <w:color w:val="000000"/>
                <w:sz w:val="20"/>
                <w:szCs w:val="20"/>
              </w:rPr>
              <w:t>Law, accounting, administration, economics, commerce</w:t>
            </w:r>
          </w:p>
        </w:tc>
        <w:tc>
          <w:tcPr>
            <w:tcW w:w="3100" w:type="dxa"/>
            <w:tcBorders>
              <w:top w:val="nil"/>
              <w:left w:val="nil"/>
              <w:bottom w:val="single" w:sz="4" w:space="0" w:color="auto"/>
              <w:right w:val="single" w:sz="8" w:space="0" w:color="auto"/>
            </w:tcBorders>
            <w:noWrap/>
          </w:tcPr>
          <w:p w:rsidR="006357C5" w:rsidRPr="00DC71B4" w:rsidRDefault="006357C5" w:rsidP="002554CF">
            <w:pPr>
              <w:spacing w:line="240" w:lineRule="auto"/>
              <w:rPr>
                <w:color w:val="000000"/>
                <w:sz w:val="20"/>
                <w:szCs w:val="20"/>
              </w:rPr>
            </w:pPr>
            <w:r w:rsidRPr="00DC71B4">
              <w:rPr>
                <w:color w:val="000000"/>
                <w:spacing w:val="-3"/>
                <w:w w:val="114"/>
                <w:sz w:val="20"/>
                <w:szCs w:val="20"/>
              </w:rPr>
              <w:t>A$1,861</w:t>
            </w:r>
          </w:p>
        </w:tc>
      </w:tr>
      <w:tr w:rsidR="006357C5" w:rsidRPr="00DC71B4" w:rsidTr="002554CF">
        <w:trPr>
          <w:trHeight w:val="255"/>
          <w:jc w:val="center"/>
        </w:trPr>
        <w:tc>
          <w:tcPr>
            <w:tcW w:w="5755" w:type="dxa"/>
            <w:tcBorders>
              <w:top w:val="nil"/>
              <w:left w:val="single" w:sz="8" w:space="0" w:color="auto"/>
              <w:bottom w:val="single" w:sz="4" w:space="0" w:color="auto"/>
              <w:right w:val="single" w:sz="4" w:space="0" w:color="auto"/>
            </w:tcBorders>
          </w:tcPr>
          <w:p w:rsidR="006357C5" w:rsidRPr="00DC71B4" w:rsidRDefault="006357C5" w:rsidP="002554CF">
            <w:pPr>
              <w:spacing w:line="240" w:lineRule="auto"/>
              <w:rPr>
                <w:color w:val="000000"/>
                <w:sz w:val="20"/>
                <w:szCs w:val="20"/>
              </w:rPr>
            </w:pPr>
            <w:r w:rsidRPr="00DC71B4">
              <w:rPr>
                <w:color w:val="000000"/>
                <w:sz w:val="20"/>
                <w:szCs w:val="20"/>
              </w:rPr>
              <w:t>Humanities</w:t>
            </w:r>
          </w:p>
        </w:tc>
        <w:tc>
          <w:tcPr>
            <w:tcW w:w="3100" w:type="dxa"/>
            <w:tcBorders>
              <w:top w:val="nil"/>
              <w:left w:val="nil"/>
              <w:bottom w:val="single" w:sz="4" w:space="0" w:color="auto"/>
              <w:right w:val="single" w:sz="8" w:space="0" w:color="auto"/>
            </w:tcBorders>
            <w:noWrap/>
          </w:tcPr>
          <w:p w:rsidR="006357C5" w:rsidRPr="00DC71B4" w:rsidRDefault="006357C5" w:rsidP="002554CF">
            <w:pPr>
              <w:spacing w:line="240" w:lineRule="auto"/>
              <w:rPr>
                <w:color w:val="000000"/>
                <w:sz w:val="20"/>
                <w:szCs w:val="20"/>
              </w:rPr>
            </w:pPr>
            <w:r w:rsidRPr="00DC71B4">
              <w:rPr>
                <w:color w:val="000000"/>
                <w:spacing w:val="3"/>
                <w:w w:val="114"/>
                <w:sz w:val="20"/>
                <w:szCs w:val="20"/>
              </w:rPr>
              <w:t>A$5,168</w:t>
            </w:r>
          </w:p>
        </w:tc>
      </w:tr>
      <w:tr w:rsidR="006357C5" w:rsidRPr="00DC71B4" w:rsidTr="002554CF">
        <w:trPr>
          <w:trHeight w:val="510"/>
          <w:jc w:val="center"/>
        </w:trPr>
        <w:tc>
          <w:tcPr>
            <w:tcW w:w="5755" w:type="dxa"/>
            <w:tcBorders>
              <w:top w:val="nil"/>
              <w:left w:val="single" w:sz="8" w:space="0" w:color="auto"/>
              <w:bottom w:val="single" w:sz="4" w:space="0" w:color="auto"/>
              <w:right w:val="single" w:sz="4" w:space="0" w:color="auto"/>
            </w:tcBorders>
          </w:tcPr>
          <w:p w:rsidR="006357C5" w:rsidRPr="00DC71B4" w:rsidRDefault="006357C5" w:rsidP="002554CF">
            <w:pPr>
              <w:spacing w:line="240" w:lineRule="auto"/>
              <w:rPr>
                <w:color w:val="000000"/>
                <w:sz w:val="20"/>
                <w:szCs w:val="20"/>
              </w:rPr>
            </w:pPr>
            <w:r w:rsidRPr="00DC71B4">
              <w:rPr>
                <w:color w:val="000000"/>
                <w:sz w:val="20"/>
                <w:szCs w:val="20"/>
              </w:rPr>
              <w:t>Mathematics, statistics, behavioral science, social studies, computing, built environment, other health</w:t>
            </w:r>
          </w:p>
        </w:tc>
        <w:tc>
          <w:tcPr>
            <w:tcW w:w="3100" w:type="dxa"/>
            <w:tcBorders>
              <w:top w:val="nil"/>
              <w:left w:val="nil"/>
              <w:bottom w:val="single" w:sz="4" w:space="0" w:color="auto"/>
              <w:right w:val="single" w:sz="8" w:space="0" w:color="auto"/>
            </w:tcBorders>
            <w:noWrap/>
          </w:tcPr>
          <w:p w:rsidR="006357C5" w:rsidRPr="00DC71B4" w:rsidRDefault="006357C5" w:rsidP="002554CF">
            <w:pPr>
              <w:spacing w:line="240" w:lineRule="auto"/>
              <w:rPr>
                <w:color w:val="000000"/>
                <w:sz w:val="20"/>
                <w:szCs w:val="20"/>
              </w:rPr>
            </w:pPr>
            <w:r w:rsidRPr="00DC71B4">
              <w:rPr>
                <w:color w:val="000000"/>
                <w:sz w:val="20"/>
                <w:szCs w:val="20"/>
              </w:rPr>
              <w:t>A$9,142</w:t>
            </w:r>
          </w:p>
        </w:tc>
      </w:tr>
      <w:tr w:rsidR="006357C5" w:rsidRPr="00DC71B4" w:rsidTr="002554CF">
        <w:trPr>
          <w:trHeight w:val="255"/>
          <w:jc w:val="center"/>
        </w:trPr>
        <w:tc>
          <w:tcPr>
            <w:tcW w:w="5755" w:type="dxa"/>
            <w:tcBorders>
              <w:top w:val="nil"/>
              <w:left w:val="single" w:sz="8" w:space="0" w:color="auto"/>
              <w:bottom w:val="single" w:sz="4" w:space="0" w:color="auto"/>
              <w:right w:val="single" w:sz="4" w:space="0" w:color="auto"/>
            </w:tcBorders>
          </w:tcPr>
          <w:p w:rsidR="006357C5" w:rsidRPr="00DC71B4" w:rsidRDefault="006357C5" w:rsidP="002554CF">
            <w:pPr>
              <w:spacing w:line="240" w:lineRule="auto"/>
              <w:rPr>
                <w:color w:val="000000"/>
                <w:sz w:val="20"/>
                <w:szCs w:val="20"/>
              </w:rPr>
            </w:pPr>
            <w:r w:rsidRPr="00DC71B4">
              <w:rPr>
                <w:color w:val="000000"/>
                <w:sz w:val="20"/>
                <w:szCs w:val="20"/>
              </w:rPr>
              <w:t>Education</w:t>
            </w:r>
          </w:p>
        </w:tc>
        <w:tc>
          <w:tcPr>
            <w:tcW w:w="3100" w:type="dxa"/>
            <w:tcBorders>
              <w:top w:val="nil"/>
              <w:left w:val="nil"/>
              <w:bottom w:val="single" w:sz="4" w:space="0" w:color="auto"/>
              <w:right w:val="single" w:sz="8" w:space="0" w:color="auto"/>
            </w:tcBorders>
            <w:noWrap/>
          </w:tcPr>
          <w:p w:rsidR="006357C5" w:rsidRPr="00DC71B4" w:rsidRDefault="006357C5" w:rsidP="002554CF">
            <w:pPr>
              <w:spacing w:line="240" w:lineRule="auto"/>
              <w:rPr>
                <w:color w:val="000000"/>
                <w:sz w:val="20"/>
                <w:szCs w:val="20"/>
              </w:rPr>
            </w:pPr>
            <w:r w:rsidRPr="00DC71B4">
              <w:rPr>
                <w:color w:val="000000"/>
                <w:spacing w:val="-4"/>
                <w:w w:val="114"/>
                <w:sz w:val="20"/>
                <w:szCs w:val="20"/>
              </w:rPr>
              <w:t>A$9,512</w:t>
            </w:r>
          </w:p>
        </w:tc>
      </w:tr>
      <w:tr w:rsidR="006357C5" w:rsidRPr="00DC71B4" w:rsidTr="002554CF">
        <w:trPr>
          <w:trHeight w:val="510"/>
          <w:jc w:val="center"/>
        </w:trPr>
        <w:tc>
          <w:tcPr>
            <w:tcW w:w="5755" w:type="dxa"/>
            <w:tcBorders>
              <w:top w:val="nil"/>
              <w:left w:val="single" w:sz="8" w:space="0" w:color="auto"/>
              <w:bottom w:val="single" w:sz="4" w:space="0" w:color="auto"/>
              <w:right w:val="single" w:sz="4" w:space="0" w:color="auto"/>
            </w:tcBorders>
          </w:tcPr>
          <w:p w:rsidR="006357C5" w:rsidRPr="00DC71B4" w:rsidRDefault="006357C5" w:rsidP="002554CF">
            <w:pPr>
              <w:spacing w:line="240" w:lineRule="auto"/>
              <w:rPr>
                <w:color w:val="000000"/>
                <w:sz w:val="20"/>
                <w:szCs w:val="20"/>
              </w:rPr>
            </w:pPr>
            <w:r w:rsidRPr="00DC71B4">
              <w:rPr>
                <w:color w:val="000000"/>
                <w:sz w:val="20"/>
                <w:szCs w:val="20"/>
              </w:rPr>
              <w:t>Clinical psychology, allied health, foreign languages, visual and performing arts</w:t>
            </w:r>
          </w:p>
        </w:tc>
        <w:tc>
          <w:tcPr>
            <w:tcW w:w="3100" w:type="dxa"/>
            <w:tcBorders>
              <w:top w:val="nil"/>
              <w:left w:val="nil"/>
              <w:bottom w:val="single" w:sz="4" w:space="0" w:color="auto"/>
              <w:right w:val="single" w:sz="8" w:space="0" w:color="auto"/>
            </w:tcBorders>
            <w:noWrap/>
          </w:tcPr>
          <w:p w:rsidR="006357C5" w:rsidRPr="00DC71B4" w:rsidRDefault="006357C5" w:rsidP="002554CF">
            <w:pPr>
              <w:spacing w:line="240" w:lineRule="auto"/>
              <w:rPr>
                <w:color w:val="000000"/>
                <w:sz w:val="20"/>
                <w:szCs w:val="20"/>
              </w:rPr>
            </w:pPr>
            <w:r w:rsidRPr="00DC71B4">
              <w:rPr>
                <w:color w:val="000000"/>
                <w:sz w:val="20"/>
                <w:szCs w:val="20"/>
              </w:rPr>
              <w:t>A$11,243</w:t>
            </w:r>
          </w:p>
        </w:tc>
      </w:tr>
      <w:tr w:rsidR="006357C5" w:rsidRPr="00DC71B4" w:rsidTr="002554CF">
        <w:trPr>
          <w:trHeight w:val="255"/>
          <w:jc w:val="center"/>
        </w:trPr>
        <w:tc>
          <w:tcPr>
            <w:tcW w:w="5755" w:type="dxa"/>
            <w:tcBorders>
              <w:top w:val="nil"/>
              <w:left w:val="single" w:sz="8" w:space="0" w:color="auto"/>
              <w:bottom w:val="single" w:sz="4" w:space="0" w:color="auto"/>
              <w:right w:val="single" w:sz="4" w:space="0" w:color="auto"/>
            </w:tcBorders>
          </w:tcPr>
          <w:p w:rsidR="006357C5" w:rsidRPr="00DC71B4" w:rsidRDefault="006357C5" w:rsidP="002554CF">
            <w:pPr>
              <w:spacing w:line="240" w:lineRule="auto"/>
              <w:rPr>
                <w:color w:val="000000"/>
                <w:sz w:val="20"/>
                <w:szCs w:val="20"/>
              </w:rPr>
            </w:pPr>
            <w:r w:rsidRPr="00DC71B4">
              <w:rPr>
                <w:color w:val="000000"/>
                <w:sz w:val="20"/>
                <w:szCs w:val="20"/>
              </w:rPr>
              <w:t>Nursing</w:t>
            </w:r>
          </w:p>
        </w:tc>
        <w:tc>
          <w:tcPr>
            <w:tcW w:w="3100" w:type="dxa"/>
            <w:tcBorders>
              <w:top w:val="nil"/>
              <w:left w:val="nil"/>
              <w:bottom w:val="single" w:sz="4" w:space="0" w:color="auto"/>
              <w:right w:val="single" w:sz="8" w:space="0" w:color="auto"/>
            </w:tcBorders>
            <w:noWrap/>
          </w:tcPr>
          <w:p w:rsidR="006357C5" w:rsidRPr="00DC71B4" w:rsidRDefault="006357C5" w:rsidP="002554CF">
            <w:pPr>
              <w:spacing w:line="240" w:lineRule="auto"/>
              <w:rPr>
                <w:color w:val="000000"/>
                <w:sz w:val="20"/>
                <w:szCs w:val="20"/>
              </w:rPr>
            </w:pPr>
            <w:r w:rsidRPr="00DC71B4">
              <w:rPr>
                <w:color w:val="000000"/>
                <w:spacing w:val="-3"/>
                <w:w w:val="114"/>
                <w:sz w:val="20"/>
                <w:szCs w:val="20"/>
              </w:rPr>
              <w:t>A$12,552</w:t>
            </w:r>
          </w:p>
        </w:tc>
      </w:tr>
      <w:tr w:rsidR="006357C5" w:rsidRPr="00DC71B4" w:rsidTr="002554CF">
        <w:trPr>
          <w:trHeight w:val="255"/>
          <w:jc w:val="center"/>
        </w:trPr>
        <w:tc>
          <w:tcPr>
            <w:tcW w:w="5755" w:type="dxa"/>
            <w:tcBorders>
              <w:top w:val="nil"/>
              <w:left w:val="single" w:sz="8" w:space="0" w:color="auto"/>
              <w:bottom w:val="single" w:sz="4" w:space="0" w:color="auto"/>
              <w:right w:val="single" w:sz="4" w:space="0" w:color="auto"/>
            </w:tcBorders>
          </w:tcPr>
          <w:p w:rsidR="006357C5" w:rsidRPr="00DC71B4" w:rsidRDefault="006357C5" w:rsidP="002554CF">
            <w:pPr>
              <w:spacing w:line="240" w:lineRule="auto"/>
              <w:rPr>
                <w:color w:val="000000"/>
                <w:sz w:val="20"/>
                <w:szCs w:val="20"/>
              </w:rPr>
            </w:pPr>
            <w:r w:rsidRPr="00DC71B4">
              <w:rPr>
                <w:color w:val="000000"/>
                <w:sz w:val="20"/>
                <w:szCs w:val="20"/>
              </w:rPr>
              <w:t>Engineering, science, surveying</w:t>
            </w:r>
          </w:p>
        </w:tc>
        <w:tc>
          <w:tcPr>
            <w:tcW w:w="3100" w:type="dxa"/>
            <w:tcBorders>
              <w:top w:val="nil"/>
              <w:left w:val="nil"/>
              <w:bottom w:val="single" w:sz="4" w:space="0" w:color="auto"/>
              <w:right w:val="single" w:sz="8" w:space="0" w:color="auto"/>
            </w:tcBorders>
            <w:noWrap/>
          </w:tcPr>
          <w:p w:rsidR="006357C5" w:rsidRPr="00DC71B4" w:rsidRDefault="006357C5" w:rsidP="002554CF">
            <w:pPr>
              <w:spacing w:line="240" w:lineRule="auto"/>
              <w:rPr>
                <w:color w:val="000000"/>
                <w:sz w:val="20"/>
                <w:szCs w:val="20"/>
              </w:rPr>
            </w:pPr>
            <w:r w:rsidRPr="00DC71B4">
              <w:rPr>
                <w:color w:val="000000"/>
                <w:spacing w:val="-3"/>
                <w:w w:val="114"/>
                <w:sz w:val="20"/>
                <w:szCs w:val="20"/>
              </w:rPr>
              <w:t>A$15,983</w:t>
            </w:r>
          </w:p>
        </w:tc>
      </w:tr>
      <w:tr w:rsidR="006357C5" w:rsidRPr="00DC71B4" w:rsidTr="002554CF">
        <w:trPr>
          <w:trHeight w:val="270"/>
          <w:jc w:val="center"/>
        </w:trPr>
        <w:tc>
          <w:tcPr>
            <w:tcW w:w="5755" w:type="dxa"/>
            <w:tcBorders>
              <w:top w:val="nil"/>
              <w:left w:val="single" w:sz="8" w:space="0" w:color="auto"/>
              <w:bottom w:val="single" w:sz="8" w:space="0" w:color="auto"/>
              <w:right w:val="single" w:sz="4" w:space="0" w:color="auto"/>
            </w:tcBorders>
          </w:tcPr>
          <w:p w:rsidR="006357C5" w:rsidRPr="00DC71B4" w:rsidRDefault="006357C5" w:rsidP="002554CF">
            <w:pPr>
              <w:spacing w:line="240" w:lineRule="auto"/>
              <w:rPr>
                <w:color w:val="000000"/>
                <w:sz w:val="20"/>
                <w:szCs w:val="20"/>
              </w:rPr>
            </w:pPr>
            <w:r w:rsidRPr="00DC71B4">
              <w:rPr>
                <w:color w:val="000000"/>
                <w:sz w:val="20"/>
                <w:szCs w:val="20"/>
              </w:rPr>
              <w:t>Medicine, dentistry, veterinary science, agriculture</w:t>
            </w:r>
          </w:p>
        </w:tc>
        <w:tc>
          <w:tcPr>
            <w:tcW w:w="3100" w:type="dxa"/>
            <w:tcBorders>
              <w:top w:val="nil"/>
              <w:left w:val="nil"/>
              <w:bottom w:val="single" w:sz="8" w:space="0" w:color="auto"/>
              <w:right w:val="single" w:sz="8" w:space="0" w:color="auto"/>
            </w:tcBorders>
            <w:noWrap/>
          </w:tcPr>
          <w:p w:rsidR="006357C5" w:rsidRPr="00DC71B4" w:rsidRDefault="006357C5" w:rsidP="002554CF">
            <w:pPr>
              <w:spacing w:line="240" w:lineRule="auto"/>
              <w:rPr>
                <w:color w:val="000000"/>
                <w:sz w:val="20"/>
                <w:szCs w:val="20"/>
              </w:rPr>
            </w:pPr>
            <w:r w:rsidRPr="00DC71B4">
              <w:rPr>
                <w:color w:val="000000"/>
                <w:spacing w:val="-3"/>
                <w:w w:val="114"/>
                <w:sz w:val="20"/>
                <w:szCs w:val="20"/>
              </w:rPr>
              <w:t>A$20,284</w:t>
            </w:r>
          </w:p>
        </w:tc>
      </w:tr>
    </w:tbl>
    <w:p w:rsidR="006357C5" w:rsidRDefault="006357C5" w:rsidP="006357C5">
      <w:pPr>
        <w:spacing w:line="240" w:lineRule="auto"/>
        <w:ind w:left="270"/>
        <w:rPr>
          <w:sz w:val="18"/>
          <w:szCs w:val="18"/>
        </w:rPr>
      </w:pPr>
      <w:r w:rsidRPr="00575059">
        <w:rPr>
          <w:sz w:val="18"/>
          <w:szCs w:val="18"/>
          <w:u w:val="single"/>
        </w:rPr>
        <w:t>Note:</w:t>
      </w:r>
      <w:r w:rsidRPr="00575059">
        <w:rPr>
          <w:sz w:val="18"/>
          <w:szCs w:val="18"/>
        </w:rPr>
        <w:t xml:space="preserve"> The Commonwealth contribution is updated yearly according to the indexation factor established in the 2003 Higher Education Support Act.</w:t>
      </w:r>
    </w:p>
    <w:p w:rsidR="006357C5" w:rsidRPr="00DF0CD6" w:rsidRDefault="006357C5" w:rsidP="006357C5">
      <w:pPr>
        <w:spacing w:line="240" w:lineRule="auto"/>
        <w:ind w:left="720"/>
      </w:pPr>
    </w:p>
    <w:p w:rsidR="006357C5" w:rsidRPr="00DF0CD6" w:rsidRDefault="006357C5" w:rsidP="006357C5">
      <w:pPr>
        <w:jc w:val="both"/>
      </w:pPr>
      <w:r w:rsidRPr="00DF0CD6">
        <w:t>The higher education provider determines the amount students contribute for each unit, within ranges set by the 2003 Higher Education Support Act (see Table 5</w:t>
      </w:r>
      <w:r>
        <w:t>4</w:t>
      </w:r>
      <w:r w:rsidRPr="00DF0CD6">
        <w:t>)</w:t>
      </w:r>
      <w:r w:rsidRPr="00DF0CD6">
        <w:rPr>
          <w:rStyle w:val="FootnoteReference"/>
          <w:rFonts w:cs="Arial"/>
        </w:rPr>
        <w:footnoteReference w:id="7"/>
      </w:r>
      <w:r w:rsidRPr="00DF0CD6">
        <w:t xml:space="preserve">. The range that applies to a unit depends on the student contribution band in which the unit is classified, which is related to expected income after graduation. A student’s contribution will also depend on the weight of the unit, namely the equivalent full-time student load (EFTSL) value of the unit within their course of study. The Government acknowledges that “most providers charge the maximum rate” (Australian Government 2011, 10). </w:t>
      </w:r>
    </w:p>
    <w:p w:rsidR="006357C5" w:rsidRPr="00DF0CD6" w:rsidRDefault="006357C5" w:rsidP="006357C5">
      <w:pPr>
        <w:ind w:firstLine="450"/>
      </w:pPr>
    </w:p>
    <w:p w:rsidR="006357C5" w:rsidRDefault="006357C5" w:rsidP="006357C5">
      <w:pPr>
        <w:rPr>
          <w:b/>
          <w:bCs/>
        </w:rPr>
      </w:pPr>
      <w:bookmarkStart w:id="61" w:name="_Ref175983097"/>
      <w:r>
        <w:br w:type="page"/>
      </w:r>
    </w:p>
    <w:p w:rsidR="006357C5" w:rsidRDefault="006357C5" w:rsidP="006357C5">
      <w:pPr>
        <w:pStyle w:val="TableHeading"/>
      </w:pPr>
      <w:bookmarkStart w:id="62" w:name="_Toc328382216"/>
      <w:bookmarkStart w:id="63" w:name="_Toc328742900"/>
      <w:r w:rsidRPr="00DF0CD6">
        <w:lastRenderedPageBreak/>
        <w:t>Table</w:t>
      </w:r>
      <w:bookmarkEnd w:id="61"/>
      <w:r w:rsidRPr="00DF0CD6">
        <w:t xml:space="preserve"> </w:t>
      </w:r>
      <w:r>
        <w:t>54</w:t>
      </w:r>
      <w:r w:rsidRPr="00DF0CD6">
        <w:t>: 2012 Student contribution bands and ranges</w:t>
      </w:r>
      <w:bookmarkEnd w:id="62"/>
      <w:bookmarkEnd w:id="63"/>
    </w:p>
    <w:p w:rsidR="006357C5" w:rsidRPr="00DF0CD6" w:rsidRDefault="006357C5" w:rsidP="006357C5">
      <w:pPr>
        <w:pStyle w:val="TableHeading"/>
      </w:pPr>
    </w:p>
    <w:tbl>
      <w:tblPr>
        <w:tblW w:w="8860" w:type="dxa"/>
        <w:jc w:val="center"/>
        <w:tblInd w:w="95" w:type="dxa"/>
        <w:tblLook w:val="00A0" w:firstRow="1" w:lastRow="0" w:firstColumn="1" w:lastColumn="0" w:noHBand="0" w:noVBand="0"/>
      </w:tblPr>
      <w:tblGrid>
        <w:gridCol w:w="1460"/>
        <w:gridCol w:w="5130"/>
        <w:gridCol w:w="2270"/>
      </w:tblGrid>
      <w:tr w:rsidR="006357C5" w:rsidRPr="00DC71B4" w:rsidTr="002554CF">
        <w:trPr>
          <w:trHeight w:val="615"/>
          <w:jc w:val="center"/>
        </w:trPr>
        <w:tc>
          <w:tcPr>
            <w:tcW w:w="6590"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6357C5" w:rsidRPr="00DC71B4" w:rsidRDefault="006357C5" w:rsidP="002554CF">
            <w:pPr>
              <w:spacing w:line="240" w:lineRule="auto"/>
              <w:rPr>
                <w:b/>
                <w:color w:val="000000"/>
                <w:sz w:val="20"/>
                <w:szCs w:val="20"/>
              </w:rPr>
            </w:pPr>
            <w:r w:rsidRPr="00DC71B4">
              <w:rPr>
                <w:b/>
                <w:color w:val="000000"/>
                <w:sz w:val="20"/>
                <w:szCs w:val="20"/>
              </w:rPr>
              <w:t>Student contribution band</w:t>
            </w:r>
          </w:p>
        </w:tc>
        <w:tc>
          <w:tcPr>
            <w:tcW w:w="2270" w:type="dxa"/>
            <w:tcBorders>
              <w:top w:val="single" w:sz="4" w:space="0" w:color="auto"/>
              <w:left w:val="nil"/>
              <w:bottom w:val="single" w:sz="4" w:space="0" w:color="auto"/>
              <w:right w:val="single" w:sz="4" w:space="0" w:color="auto"/>
            </w:tcBorders>
            <w:shd w:val="clear" w:color="auto" w:fill="F2F2F2"/>
            <w:vAlign w:val="center"/>
          </w:tcPr>
          <w:p w:rsidR="006357C5" w:rsidRPr="00DC71B4" w:rsidRDefault="006357C5" w:rsidP="002554CF">
            <w:pPr>
              <w:spacing w:line="240" w:lineRule="auto"/>
              <w:rPr>
                <w:b/>
                <w:color w:val="000000"/>
                <w:sz w:val="20"/>
                <w:szCs w:val="20"/>
              </w:rPr>
            </w:pPr>
            <w:r w:rsidRPr="00DC71B4">
              <w:rPr>
                <w:b/>
                <w:color w:val="000000"/>
                <w:sz w:val="20"/>
                <w:szCs w:val="20"/>
              </w:rPr>
              <w:t>Maximum student contribution per EFTSL</w:t>
            </w:r>
          </w:p>
        </w:tc>
      </w:tr>
      <w:tr w:rsidR="006357C5" w:rsidRPr="00DC71B4" w:rsidTr="002554CF">
        <w:trPr>
          <w:trHeight w:val="576"/>
          <w:jc w:val="center"/>
        </w:trPr>
        <w:tc>
          <w:tcPr>
            <w:tcW w:w="1460" w:type="dxa"/>
            <w:tcBorders>
              <w:top w:val="nil"/>
              <w:left w:val="single" w:sz="4" w:space="0" w:color="auto"/>
              <w:bottom w:val="single" w:sz="4" w:space="0" w:color="auto"/>
              <w:right w:val="single" w:sz="4" w:space="0" w:color="auto"/>
            </w:tcBorders>
            <w:vAlign w:val="center"/>
          </w:tcPr>
          <w:p w:rsidR="006357C5" w:rsidRPr="00DC71B4" w:rsidRDefault="006357C5" w:rsidP="002554CF">
            <w:pPr>
              <w:spacing w:line="240" w:lineRule="auto"/>
              <w:rPr>
                <w:color w:val="000000"/>
                <w:sz w:val="20"/>
                <w:szCs w:val="20"/>
              </w:rPr>
            </w:pPr>
            <w:r w:rsidRPr="00DC71B4">
              <w:rPr>
                <w:color w:val="000000"/>
                <w:sz w:val="20"/>
                <w:szCs w:val="20"/>
              </w:rPr>
              <w:t>Band 3</w:t>
            </w:r>
          </w:p>
        </w:tc>
        <w:tc>
          <w:tcPr>
            <w:tcW w:w="5130" w:type="dxa"/>
            <w:tcBorders>
              <w:top w:val="nil"/>
              <w:left w:val="nil"/>
              <w:bottom w:val="single" w:sz="4" w:space="0" w:color="auto"/>
              <w:right w:val="single" w:sz="4" w:space="0" w:color="auto"/>
            </w:tcBorders>
            <w:vAlign w:val="center"/>
          </w:tcPr>
          <w:p w:rsidR="006357C5" w:rsidRPr="00DC71B4" w:rsidRDefault="006357C5" w:rsidP="002554CF">
            <w:pPr>
              <w:spacing w:line="240" w:lineRule="auto"/>
              <w:rPr>
                <w:color w:val="000000"/>
                <w:sz w:val="20"/>
                <w:szCs w:val="20"/>
              </w:rPr>
            </w:pPr>
            <w:r w:rsidRPr="00DC71B4">
              <w:rPr>
                <w:color w:val="000000"/>
                <w:sz w:val="20"/>
                <w:szCs w:val="20"/>
              </w:rPr>
              <w:t>Law, dentistry, medicine, veterinary science, accounting, administration, economics, commerce</w:t>
            </w:r>
          </w:p>
        </w:tc>
        <w:tc>
          <w:tcPr>
            <w:tcW w:w="2270" w:type="dxa"/>
            <w:tcBorders>
              <w:top w:val="nil"/>
              <w:left w:val="nil"/>
              <w:bottom w:val="single" w:sz="4" w:space="0" w:color="auto"/>
              <w:right w:val="single" w:sz="4" w:space="0" w:color="auto"/>
            </w:tcBorders>
            <w:vAlign w:val="center"/>
          </w:tcPr>
          <w:p w:rsidR="006357C5" w:rsidRPr="00DC71B4" w:rsidRDefault="006357C5" w:rsidP="002554CF">
            <w:pPr>
              <w:spacing w:line="240" w:lineRule="auto"/>
              <w:rPr>
                <w:color w:val="000000"/>
                <w:sz w:val="20"/>
                <w:szCs w:val="20"/>
              </w:rPr>
            </w:pPr>
            <w:r w:rsidRPr="00DC71B4">
              <w:rPr>
                <w:color w:val="000000"/>
                <w:sz w:val="20"/>
                <w:szCs w:val="20"/>
              </w:rPr>
              <w:t>A$9,425</w:t>
            </w:r>
          </w:p>
        </w:tc>
      </w:tr>
      <w:tr w:rsidR="006357C5" w:rsidRPr="00DC71B4" w:rsidTr="002554CF">
        <w:trPr>
          <w:trHeight w:val="556"/>
          <w:jc w:val="center"/>
        </w:trPr>
        <w:tc>
          <w:tcPr>
            <w:tcW w:w="1460" w:type="dxa"/>
            <w:tcBorders>
              <w:top w:val="nil"/>
              <w:left w:val="single" w:sz="4" w:space="0" w:color="auto"/>
              <w:bottom w:val="single" w:sz="4" w:space="0" w:color="auto"/>
              <w:right w:val="single" w:sz="4" w:space="0" w:color="auto"/>
            </w:tcBorders>
            <w:vAlign w:val="center"/>
          </w:tcPr>
          <w:p w:rsidR="006357C5" w:rsidRPr="00DC71B4" w:rsidRDefault="006357C5" w:rsidP="002554CF">
            <w:pPr>
              <w:spacing w:line="240" w:lineRule="auto"/>
              <w:rPr>
                <w:color w:val="000000"/>
                <w:sz w:val="20"/>
                <w:szCs w:val="20"/>
              </w:rPr>
            </w:pPr>
            <w:r w:rsidRPr="00DC71B4">
              <w:rPr>
                <w:color w:val="000000"/>
                <w:sz w:val="20"/>
                <w:szCs w:val="20"/>
              </w:rPr>
              <w:t>Band 2</w:t>
            </w:r>
          </w:p>
        </w:tc>
        <w:tc>
          <w:tcPr>
            <w:tcW w:w="5130" w:type="dxa"/>
            <w:tcBorders>
              <w:top w:val="nil"/>
              <w:left w:val="nil"/>
              <w:bottom w:val="single" w:sz="4" w:space="0" w:color="auto"/>
              <w:right w:val="single" w:sz="4" w:space="0" w:color="auto"/>
            </w:tcBorders>
            <w:vAlign w:val="center"/>
          </w:tcPr>
          <w:p w:rsidR="006357C5" w:rsidRPr="00DC71B4" w:rsidRDefault="006357C5" w:rsidP="002554CF">
            <w:pPr>
              <w:spacing w:line="240" w:lineRule="auto"/>
              <w:rPr>
                <w:color w:val="000000"/>
                <w:sz w:val="20"/>
                <w:szCs w:val="20"/>
              </w:rPr>
            </w:pPr>
            <w:r w:rsidRPr="00DC71B4">
              <w:rPr>
                <w:color w:val="000000"/>
                <w:sz w:val="20"/>
                <w:szCs w:val="20"/>
              </w:rPr>
              <w:t>Computing, built environment, health (allied health and other health), engineering, surveying, agriculture</w:t>
            </w:r>
          </w:p>
        </w:tc>
        <w:tc>
          <w:tcPr>
            <w:tcW w:w="2270" w:type="dxa"/>
            <w:tcBorders>
              <w:top w:val="nil"/>
              <w:left w:val="nil"/>
              <w:bottom w:val="single" w:sz="4" w:space="0" w:color="auto"/>
              <w:right w:val="single" w:sz="4" w:space="0" w:color="auto"/>
            </w:tcBorders>
            <w:vAlign w:val="center"/>
          </w:tcPr>
          <w:p w:rsidR="006357C5" w:rsidRPr="00DC71B4" w:rsidRDefault="006357C5" w:rsidP="002554CF">
            <w:pPr>
              <w:spacing w:line="240" w:lineRule="auto"/>
              <w:rPr>
                <w:color w:val="000000"/>
                <w:sz w:val="20"/>
                <w:szCs w:val="20"/>
              </w:rPr>
            </w:pPr>
            <w:r w:rsidRPr="00DC71B4">
              <w:rPr>
                <w:color w:val="000000"/>
                <w:sz w:val="20"/>
                <w:szCs w:val="20"/>
              </w:rPr>
              <w:t>A$8,050</w:t>
            </w:r>
          </w:p>
        </w:tc>
      </w:tr>
      <w:tr w:rsidR="006357C5" w:rsidRPr="00DC71B4" w:rsidTr="002554CF">
        <w:trPr>
          <w:trHeight w:val="868"/>
          <w:jc w:val="center"/>
        </w:trPr>
        <w:tc>
          <w:tcPr>
            <w:tcW w:w="1460" w:type="dxa"/>
            <w:tcBorders>
              <w:top w:val="nil"/>
              <w:left w:val="single" w:sz="4" w:space="0" w:color="auto"/>
              <w:bottom w:val="single" w:sz="4" w:space="0" w:color="auto"/>
              <w:right w:val="single" w:sz="4" w:space="0" w:color="auto"/>
            </w:tcBorders>
            <w:vAlign w:val="center"/>
          </w:tcPr>
          <w:p w:rsidR="006357C5" w:rsidRPr="00DC71B4" w:rsidRDefault="006357C5" w:rsidP="002554CF">
            <w:pPr>
              <w:spacing w:line="240" w:lineRule="auto"/>
              <w:rPr>
                <w:color w:val="000000"/>
                <w:sz w:val="20"/>
                <w:szCs w:val="20"/>
              </w:rPr>
            </w:pPr>
            <w:r w:rsidRPr="00DC71B4">
              <w:rPr>
                <w:color w:val="000000"/>
                <w:sz w:val="20"/>
                <w:szCs w:val="20"/>
              </w:rPr>
              <w:t>Band 1</w:t>
            </w:r>
          </w:p>
        </w:tc>
        <w:tc>
          <w:tcPr>
            <w:tcW w:w="5130" w:type="dxa"/>
            <w:tcBorders>
              <w:top w:val="nil"/>
              <w:left w:val="nil"/>
              <w:bottom w:val="single" w:sz="4" w:space="0" w:color="auto"/>
              <w:right w:val="single" w:sz="4" w:space="0" w:color="auto"/>
            </w:tcBorders>
            <w:vAlign w:val="center"/>
          </w:tcPr>
          <w:p w:rsidR="006357C5" w:rsidRPr="00DC71B4" w:rsidRDefault="006357C5" w:rsidP="002554CF">
            <w:pPr>
              <w:spacing w:line="240" w:lineRule="auto"/>
              <w:rPr>
                <w:color w:val="000000"/>
                <w:sz w:val="20"/>
                <w:szCs w:val="20"/>
              </w:rPr>
            </w:pPr>
            <w:r w:rsidRPr="00DC71B4">
              <w:rPr>
                <w:color w:val="000000"/>
                <w:sz w:val="20"/>
                <w:szCs w:val="20"/>
              </w:rPr>
              <w:t>Humanities, behavioral science (including clinical psychology), social studies, foreign languages, visual and performing arts, education, nursing</w:t>
            </w:r>
          </w:p>
        </w:tc>
        <w:tc>
          <w:tcPr>
            <w:tcW w:w="2270" w:type="dxa"/>
            <w:tcBorders>
              <w:top w:val="nil"/>
              <w:left w:val="nil"/>
              <w:bottom w:val="single" w:sz="4" w:space="0" w:color="auto"/>
              <w:right w:val="single" w:sz="4" w:space="0" w:color="auto"/>
            </w:tcBorders>
            <w:vAlign w:val="center"/>
          </w:tcPr>
          <w:p w:rsidR="006357C5" w:rsidRPr="00DC71B4" w:rsidRDefault="006357C5" w:rsidP="002554CF">
            <w:pPr>
              <w:spacing w:line="240" w:lineRule="auto"/>
              <w:rPr>
                <w:color w:val="000000"/>
                <w:sz w:val="20"/>
                <w:szCs w:val="20"/>
              </w:rPr>
            </w:pPr>
            <w:r w:rsidRPr="00DC71B4">
              <w:rPr>
                <w:color w:val="000000"/>
                <w:sz w:val="20"/>
                <w:szCs w:val="20"/>
              </w:rPr>
              <w:t>A$5,648</w:t>
            </w:r>
          </w:p>
        </w:tc>
      </w:tr>
      <w:tr w:rsidR="006357C5" w:rsidRPr="00DC71B4" w:rsidTr="002554CF">
        <w:trPr>
          <w:trHeight w:val="510"/>
          <w:jc w:val="center"/>
        </w:trPr>
        <w:tc>
          <w:tcPr>
            <w:tcW w:w="1460" w:type="dxa"/>
            <w:tcBorders>
              <w:top w:val="nil"/>
              <w:left w:val="single" w:sz="4" w:space="0" w:color="auto"/>
              <w:bottom w:val="single" w:sz="4" w:space="0" w:color="auto"/>
              <w:right w:val="single" w:sz="4" w:space="0" w:color="auto"/>
            </w:tcBorders>
            <w:vAlign w:val="center"/>
          </w:tcPr>
          <w:p w:rsidR="006357C5" w:rsidRPr="00DC71B4" w:rsidRDefault="006357C5" w:rsidP="002554CF">
            <w:pPr>
              <w:spacing w:line="240" w:lineRule="auto"/>
              <w:rPr>
                <w:color w:val="000000"/>
                <w:sz w:val="20"/>
                <w:szCs w:val="20"/>
              </w:rPr>
            </w:pPr>
            <w:r w:rsidRPr="00DC71B4">
              <w:rPr>
                <w:color w:val="000000"/>
                <w:sz w:val="20"/>
                <w:szCs w:val="20"/>
              </w:rPr>
              <w:t>National Priorities Band</w:t>
            </w:r>
          </w:p>
        </w:tc>
        <w:tc>
          <w:tcPr>
            <w:tcW w:w="5130" w:type="dxa"/>
            <w:tcBorders>
              <w:top w:val="nil"/>
              <w:left w:val="nil"/>
              <w:bottom w:val="single" w:sz="4" w:space="0" w:color="auto"/>
              <w:right w:val="single" w:sz="4" w:space="0" w:color="auto"/>
            </w:tcBorders>
            <w:vAlign w:val="center"/>
          </w:tcPr>
          <w:p w:rsidR="006357C5" w:rsidRPr="00DC71B4" w:rsidRDefault="006357C5" w:rsidP="002554CF">
            <w:pPr>
              <w:spacing w:line="240" w:lineRule="auto"/>
              <w:rPr>
                <w:color w:val="000000"/>
                <w:sz w:val="20"/>
                <w:szCs w:val="20"/>
              </w:rPr>
            </w:pPr>
            <w:r w:rsidRPr="00DC71B4">
              <w:rPr>
                <w:color w:val="000000"/>
                <w:sz w:val="20"/>
                <w:szCs w:val="20"/>
              </w:rPr>
              <w:t>Mathematics, statistics, science</w:t>
            </w:r>
          </w:p>
        </w:tc>
        <w:tc>
          <w:tcPr>
            <w:tcW w:w="2270" w:type="dxa"/>
            <w:tcBorders>
              <w:top w:val="nil"/>
              <w:left w:val="nil"/>
              <w:bottom w:val="single" w:sz="4" w:space="0" w:color="auto"/>
              <w:right w:val="single" w:sz="4" w:space="0" w:color="auto"/>
            </w:tcBorders>
            <w:vAlign w:val="center"/>
          </w:tcPr>
          <w:p w:rsidR="006357C5" w:rsidRPr="00DC71B4" w:rsidRDefault="006357C5" w:rsidP="002554CF">
            <w:pPr>
              <w:spacing w:line="240" w:lineRule="auto"/>
              <w:rPr>
                <w:color w:val="000000"/>
                <w:sz w:val="20"/>
                <w:szCs w:val="20"/>
              </w:rPr>
            </w:pPr>
            <w:r w:rsidRPr="00DC71B4">
              <w:rPr>
                <w:color w:val="000000"/>
                <w:sz w:val="20"/>
                <w:szCs w:val="20"/>
              </w:rPr>
              <w:t>A$4,520</w:t>
            </w:r>
          </w:p>
        </w:tc>
      </w:tr>
    </w:tbl>
    <w:p w:rsidR="006357C5" w:rsidRDefault="006357C5" w:rsidP="006357C5">
      <w:pPr>
        <w:ind w:left="270"/>
        <w:jc w:val="both"/>
        <w:rPr>
          <w:sz w:val="18"/>
          <w:szCs w:val="18"/>
        </w:rPr>
      </w:pPr>
      <w:r w:rsidRPr="00575059">
        <w:rPr>
          <w:sz w:val="18"/>
          <w:szCs w:val="18"/>
          <w:u w:val="single"/>
        </w:rPr>
        <w:t>Note:</w:t>
      </w:r>
      <w:r w:rsidRPr="00575059">
        <w:rPr>
          <w:sz w:val="18"/>
          <w:szCs w:val="18"/>
        </w:rPr>
        <w:t xml:space="preserve"> The Commonwealth contribution is updated yearly according to the indexation factor established in the 2003 Higher Education Support Act.</w:t>
      </w:r>
    </w:p>
    <w:p w:rsidR="006357C5" w:rsidRPr="00DF0CD6" w:rsidRDefault="006357C5" w:rsidP="006357C5">
      <w:pPr>
        <w:ind w:left="720"/>
        <w:jc w:val="both"/>
        <w:rPr>
          <w:sz w:val="20"/>
        </w:rPr>
      </w:pPr>
    </w:p>
    <w:p w:rsidR="006357C5" w:rsidRDefault="006357C5" w:rsidP="006357C5">
      <w:pPr>
        <w:jc w:val="both"/>
      </w:pPr>
      <w:r w:rsidRPr="00DF0CD6">
        <w:t>The options available for paying the student contribution under HECS-HELP include:</w:t>
      </w:r>
    </w:p>
    <w:p w:rsidR="006357C5" w:rsidRDefault="006357C5" w:rsidP="006357C5">
      <w:pPr>
        <w:jc w:val="both"/>
      </w:pPr>
    </w:p>
    <w:p w:rsidR="006357C5" w:rsidRDefault="006357C5" w:rsidP="006357C5">
      <w:pPr>
        <w:pStyle w:val="ListParagraph"/>
        <w:numPr>
          <w:ilvl w:val="0"/>
          <w:numId w:val="11"/>
        </w:numPr>
        <w:contextualSpacing w:val="0"/>
        <w:jc w:val="both"/>
      </w:pPr>
      <w:r w:rsidRPr="00DF0CD6">
        <w:t>A 20% discount for full up-front payments (or partial up-front payments of $500 or more), that is to say, if a student pays her student contribution up-front she only has to pay 80% of what she would repay were she to take the loan; and</w:t>
      </w:r>
    </w:p>
    <w:p w:rsidR="006357C5" w:rsidRPr="00DF0CD6" w:rsidRDefault="006357C5" w:rsidP="006357C5">
      <w:pPr>
        <w:pStyle w:val="ListParagraph"/>
        <w:contextualSpacing w:val="0"/>
        <w:jc w:val="both"/>
      </w:pPr>
    </w:p>
    <w:p w:rsidR="006357C5" w:rsidRDefault="006357C5" w:rsidP="006357C5">
      <w:pPr>
        <w:pStyle w:val="ListParagraph"/>
        <w:numPr>
          <w:ilvl w:val="0"/>
          <w:numId w:val="11"/>
        </w:numPr>
        <w:contextualSpacing w:val="0"/>
        <w:jc w:val="both"/>
      </w:pPr>
      <w:r w:rsidRPr="00DF0CD6">
        <w:t>A loan for all or part of the student contribution.</w:t>
      </w:r>
    </w:p>
    <w:p w:rsidR="006357C5" w:rsidRPr="00DF0CD6" w:rsidRDefault="006357C5" w:rsidP="006357C5">
      <w:pPr>
        <w:jc w:val="both"/>
      </w:pPr>
      <w:r w:rsidRPr="00DF0CD6">
        <w:t>Students who incur in HECS-HELP, FEE-HELP and/or OS-HELP loans must start repaying their accumulated HELP debt when their repayment income</w:t>
      </w:r>
      <w:r w:rsidRPr="00DF0CD6">
        <w:rPr>
          <w:rStyle w:val="FootnoteReference"/>
          <w:rFonts w:cs="Arial"/>
        </w:rPr>
        <w:footnoteReference w:id="8"/>
      </w:r>
      <w:r w:rsidRPr="00DF0CD6">
        <w:t xml:space="preserve"> is above the minimum repayment threshold for compulsory repayment. The repayment thresholds are adjusted each year to reflect any changes in average weekly earnings. The minimum threshold for the 2010–11 income years was A$44,911. When repayment income is above the minimum repayment threshold for any particular year, the Australian Tax Office (ATO) calculates the compulsory repayment for that year. Table </w:t>
      </w:r>
      <w:r>
        <w:t>55</w:t>
      </w:r>
      <w:r w:rsidRPr="00DF0CD6">
        <w:t xml:space="preserve"> contains the repayment thresholds and repayment rates for income earned during the 2010–11 income year.</w:t>
      </w:r>
    </w:p>
    <w:p w:rsidR="006357C5" w:rsidRPr="00DF0CD6" w:rsidRDefault="006357C5" w:rsidP="006357C5">
      <w:pPr>
        <w:jc w:val="both"/>
      </w:pPr>
      <w:r w:rsidRPr="00DF0CD6">
        <w:br w:type="page"/>
      </w:r>
    </w:p>
    <w:p w:rsidR="006357C5" w:rsidRDefault="006357C5" w:rsidP="006357C5">
      <w:pPr>
        <w:pStyle w:val="TableHeading"/>
      </w:pPr>
      <w:bookmarkStart w:id="64" w:name="_Toc328382217"/>
      <w:bookmarkStart w:id="65" w:name="_Toc328742901"/>
      <w:r w:rsidRPr="00DF0CD6">
        <w:lastRenderedPageBreak/>
        <w:t xml:space="preserve">Table </w:t>
      </w:r>
      <w:r>
        <w:t>55</w:t>
      </w:r>
      <w:r w:rsidRPr="00DF0CD6">
        <w:t>: 2010-2011 Repayment thresholds and repayment rates</w:t>
      </w:r>
      <w:bookmarkEnd w:id="64"/>
      <w:bookmarkEnd w:id="65"/>
    </w:p>
    <w:p w:rsidR="006357C5" w:rsidRPr="00DF0CD6" w:rsidRDefault="006357C5" w:rsidP="006357C5">
      <w:pPr>
        <w:pStyle w:val="TableHeading"/>
      </w:pPr>
    </w:p>
    <w:tbl>
      <w:tblPr>
        <w:tblW w:w="6705" w:type="dxa"/>
        <w:jc w:val="center"/>
        <w:tblInd w:w="-177" w:type="dxa"/>
        <w:tblLook w:val="00A0" w:firstRow="1" w:lastRow="0" w:firstColumn="1" w:lastColumn="0" w:noHBand="0" w:noVBand="0"/>
      </w:tblPr>
      <w:tblGrid>
        <w:gridCol w:w="3650"/>
        <w:gridCol w:w="3055"/>
      </w:tblGrid>
      <w:tr w:rsidR="006357C5" w:rsidRPr="00DC71B4" w:rsidTr="002554CF">
        <w:trPr>
          <w:trHeight w:val="600"/>
          <w:jc w:val="center"/>
        </w:trPr>
        <w:tc>
          <w:tcPr>
            <w:tcW w:w="3650" w:type="dxa"/>
            <w:tcBorders>
              <w:top w:val="single" w:sz="8" w:space="0" w:color="auto"/>
              <w:left w:val="single" w:sz="8" w:space="0" w:color="auto"/>
              <w:bottom w:val="single" w:sz="4" w:space="0" w:color="auto"/>
              <w:right w:val="single" w:sz="4" w:space="0" w:color="auto"/>
            </w:tcBorders>
            <w:shd w:val="clear" w:color="auto" w:fill="F2F2F2"/>
            <w:vAlign w:val="center"/>
          </w:tcPr>
          <w:p w:rsidR="006357C5" w:rsidRPr="00DC71B4" w:rsidRDefault="006357C5" w:rsidP="002554CF">
            <w:pPr>
              <w:rPr>
                <w:b/>
                <w:bCs/>
                <w:color w:val="000000"/>
                <w:sz w:val="20"/>
                <w:szCs w:val="20"/>
              </w:rPr>
            </w:pPr>
            <w:r w:rsidRPr="00DC71B4">
              <w:rPr>
                <w:b/>
                <w:bCs/>
                <w:color w:val="000000"/>
                <w:sz w:val="20"/>
                <w:szCs w:val="20"/>
              </w:rPr>
              <w:t>Repayment income in the range:</w:t>
            </w:r>
          </w:p>
        </w:tc>
        <w:tc>
          <w:tcPr>
            <w:tcW w:w="3055" w:type="dxa"/>
            <w:tcBorders>
              <w:top w:val="single" w:sz="8" w:space="0" w:color="auto"/>
              <w:left w:val="nil"/>
              <w:bottom w:val="single" w:sz="4" w:space="0" w:color="auto"/>
              <w:right w:val="single" w:sz="8" w:space="0" w:color="auto"/>
            </w:tcBorders>
            <w:shd w:val="clear" w:color="auto" w:fill="F2F2F2"/>
            <w:vAlign w:val="center"/>
          </w:tcPr>
          <w:p w:rsidR="006357C5" w:rsidRPr="00DC71B4" w:rsidRDefault="006357C5" w:rsidP="002554CF">
            <w:pPr>
              <w:rPr>
                <w:b/>
                <w:bCs/>
                <w:color w:val="000000"/>
                <w:sz w:val="20"/>
                <w:szCs w:val="20"/>
              </w:rPr>
            </w:pPr>
            <w:r w:rsidRPr="00DC71B4">
              <w:rPr>
                <w:b/>
                <w:bCs/>
                <w:color w:val="000000"/>
                <w:sz w:val="20"/>
                <w:szCs w:val="20"/>
              </w:rPr>
              <w:t>Repayment rate</w:t>
            </w:r>
            <w:r w:rsidRPr="00DC71B4">
              <w:rPr>
                <w:b/>
                <w:bCs/>
                <w:color w:val="000000"/>
                <w:sz w:val="20"/>
                <w:szCs w:val="20"/>
              </w:rPr>
              <w:br/>
              <w:t>(% of repayment income)</w:t>
            </w:r>
          </w:p>
        </w:tc>
      </w:tr>
      <w:tr w:rsidR="006357C5" w:rsidRPr="00DC71B4" w:rsidTr="002554CF">
        <w:trPr>
          <w:trHeight w:val="300"/>
          <w:jc w:val="center"/>
        </w:trPr>
        <w:tc>
          <w:tcPr>
            <w:tcW w:w="3650" w:type="dxa"/>
            <w:tcBorders>
              <w:top w:val="nil"/>
              <w:left w:val="single" w:sz="8" w:space="0" w:color="auto"/>
              <w:bottom w:val="single" w:sz="4" w:space="0" w:color="auto"/>
              <w:right w:val="single" w:sz="4"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Below A$44,912</w:t>
            </w:r>
          </w:p>
        </w:tc>
        <w:tc>
          <w:tcPr>
            <w:tcW w:w="3055" w:type="dxa"/>
            <w:tcBorders>
              <w:top w:val="nil"/>
              <w:left w:val="nil"/>
              <w:bottom w:val="single" w:sz="4" w:space="0" w:color="auto"/>
              <w:right w:val="single" w:sz="8"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Nil</w:t>
            </w:r>
          </w:p>
        </w:tc>
      </w:tr>
      <w:tr w:rsidR="006357C5" w:rsidRPr="00DC71B4" w:rsidTr="002554CF">
        <w:trPr>
          <w:trHeight w:val="300"/>
          <w:jc w:val="center"/>
        </w:trPr>
        <w:tc>
          <w:tcPr>
            <w:tcW w:w="3650" w:type="dxa"/>
            <w:tcBorders>
              <w:top w:val="nil"/>
              <w:left w:val="single" w:sz="8" w:space="0" w:color="auto"/>
              <w:bottom w:val="single" w:sz="4" w:space="0" w:color="auto"/>
              <w:right w:val="single" w:sz="4"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A$44,912–A$50,028</w:t>
            </w:r>
          </w:p>
        </w:tc>
        <w:tc>
          <w:tcPr>
            <w:tcW w:w="3055" w:type="dxa"/>
            <w:tcBorders>
              <w:top w:val="nil"/>
              <w:left w:val="nil"/>
              <w:bottom w:val="single" w:sz="4" w:space="0" w:color="auto"/>
              <w:right w:val="single" w:sz="8"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4.0%</w:t>
            </w:r>
          </w:p>
        </w:tc>
      </w:tr>
      <w:tr w:rsidR="006357C5" w:rsidRPr="00DC71B4" w:rsidTr="002554CF">
        <w:trPr>
          <w:trHeight w:val="300"/>
          <w:jc w:val="center"/>
        </w:trPr>
        <w:tc>
          <w:tcPr>
            <w:tcW w:w="3650" w:type="dxa"/>
            <w:tcBorders>
              <w:top w:val="nil"/>
              <w:left w:val="single" w:sz="8" w:space="0" w:color="auto"/>
              <w:bottom w:val="single" w:sz="4" w:space="0" w:color="auto"/>
              <w:right w:val="single" w:sz="4"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A$50,029–A$55,143</w:t>
            </w:r>
          </w:p>
        </w:tc>
        <w:tc>
          <w:tcPr>
            <w:tcW w:w="3055" w:type="dxa"/>
            <w:tcBorders>
              <w:top w:val="nil"/>
              <w:left w:val="nil"/>
              <w:bottom w:val="single" w:sz="4" w:space="0" w:color="auto"/>
              <w:right w:val="single" w:sz="8"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4.5%</w:t>
            </w:r>
          </w:p>
        </w:tc>
      </w:tr>
      <w:tr w:rsidR="006357C5" w:rsidRPr="00DC71B4" w:rsidTr="002554CF">
        <w:trPr>
          <w:trHeight w:val="300"/>
          <w:jc w:val="center"/>
        </w:trPr>
        <w:tc>
          <w:tcPr>
            <w:tcW w:w="3650" w:type="dxa"/>
            <w:tcBorders>
              <w:top w:val="nil"/>
              <w:left w:val="single" w:sz="8" w:space="0" w:color="auto"/>
              <w:bottom w:val="single" w:sz="4" w:space="0" w:color="auto"/>
              <w:right w:val="single" w:sz="4"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A$55,144–A$58,041</w:t>
            </w:r>
          </w:p>
        </w:tc>
        <w:tc>
          <w:tcPr>
            <w:tcW w:w="3055" w:type="dxa"/>
            <w:tcBorders>
              <w:top w:val="nil"/>
              <w:left w:val="nil"/>
              <w:bottom w:val="single" w:sz="4" w:space="0" w:color="auto"/>
              <w:right w:val="single" w:sz="8"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5.0%</w:t>
            </w:r>
          </w:p>
        </w:tc>
      </w:tr>
      <w:tr w:rsidR="006357C5" w:rsidRPr="00DC71B4" w:rsidTr="002554CF">
        <w:trPr>
          <w:trHeight w:val="300"/>
          <w:jc w:val="center"/>
        </w:trPr>
        <w:tc>
          <w:tcPr>
            <w:tcW w:w="3650" w:type="dxa"/>
            <w:tcBorders>
              <w:top w:val="nil"/>
              <w:left w:val="single" w:sz="8" w:space="0" w:color="auto"/>
              <w:bottom w:val="single" w:sz="4" w:space="0" w:color="auto"/>
              <w:right w:val="single" w:sz="4"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A$58,042–A$62,390</w:t>
            </w:r>
          </w:p>
        </w:tc>
        <w:tc>
          <w:tcPr>
            <w:tcW w:w="3055" w:type="dxa"/>
            <w:tcBorders>
              <w:top w:val="nil"/>
              <w:left w:val="nil"/>
              <w:bottom w:val="single" w:sz="4" w:space="0" w:color="auto"/>
              <w:right w:val="single" w:sz="8"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5.5%</w:t>
            </w:r>
          </w:p>
        </w:tc>
      </w:tr>
      <w:tr w:rsidR="006357C5" w:rsidRPr="00DC71B4" w:rsidTr="002554CF">
        <w:trPr>
          <w:trHeight w:val="300"/>
          <w:jc w:val="center"/>
        </w:trPr>
        <w:tc>
          <w:tcPr>
            <w:tcW w:w="3650" w:type="dxa"/>
            <w:tcBorders>
              <w:top w:val="nil"/>
              <w:left w:val="single" w:sz="8" w:space="0" w:color="auto"/>
              <w:bottom w:val="single" w:sz="4" w:space="0" w:color="auto"/>
              <w:right w:val="single" w:sz="4"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A$62,391–A$67,570</w:t>
            </w:r>
          </w:p>
        </w:tc>
        <w:tc>
          <w:tcPr>
            <w:tcW w:w="3055" w:type="dxa"/>
            <w:tcBorders>
              <w:top w:val="nil"/>
              <w:left w:val="nil"/>
              <w:bottom w:val="single" w:sz="4" w:space="0" w:color="auto"/>
              <w:right w:val="single" w:sz="8"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6.0%</w:t>
            </w:r>
          </w:p>
        </w:tc>
      </w:tr>
      <w:tr w:rsidR="006357C5" w:rsidRPr="00DC71B4" w:rsidTr="002554CF">
        <w:trPr>
          <w:trHeight w:val="300"/>
          <w:jc w:val="center"/>
        </w:trPr>
        <w:tc>
          <w:tcPr>
            <w:tcW w:w="3650" w:type="dxa"/>
            <w:tcBorders>
              <w:top w:val="nil"/>
              <w:left w:val="single" w:sz="8" w:space="0" w:color="auto"/>
              <w:bottom w:val="single" w:sz="4" w:space="0" w:color="auto"/>
              <w:right w:val="single" w:sz="4"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A$67,571–A$71,126</w:t>
            </w:r>
          </w:p>
        </w:tc>
        <w:tc>
          <w:tcPr>
            <w:tcW w:w="3055" w:type="dxa"/>
            <w:tcBorders>
              <w:top w:val="nil"/>
              <w:left w:val="nil"/>
              <w:bottom w:val="single" w:sz="4" w:space="0" w:color="auto"/>
              <w:right w:val="single" w:sz="8"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6.5%</w:t>
            </w:r>
          </w:p>
        </w:tc>
      </w:tr>
      <w:tr w:rsidR="006357C5" w:rsidRPr="00DC71B4" w:rsidTr="002554CF">
        <w:trPr>
          <w:trHeight w:val="300"/>
          <w:jc w:val="center"/>
        </w:trPr>
        <w:tc>
          <w:tcPr>
            <w:tcW w:w="3650" w:type="dxa"/>
            <w:tcBorders>
              <w:top w:val="nil"/>
              <w:left w:val="single" w:sz="8" w:space="0" w:color="auto"/>
              <w:bottom w:val="single" w:sz="4" w:space="0" w:color="auto"/>
              <w:right w:val="single" w:sz="4"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A$71,127–A$78,273</w:t>
            </w:r>
          </w:p>
        </w:tc>
        <w:tc>
          <w:tcPr>
            <w:tcW w:w="3055" w:type="dxa"/>
            <w:tcBorders>
              <w:top w:val="nil"/>
              <w:left w:val="nil"/>
              <w:bottom w:val="single" w:sz="4" w:space="0" w:color="auto"/>
              <w:right w:val="single" w:sz="8"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7.0%</w:t>
            </w:r>
          </w:p>
        </w:tc>
      </w:tr>
      <w:tr w:rsidR="006357C5" w:rsidRPr="00DC71B4" w:rsidTr="002554CF">
        <w:trPr>
          <w:trHeight w:val="300"/>
          <w:jc w:val="center"/>
        </w:trPr>
        <w:tc>
          <w:tcPr>
            <w:tcW w:w="3650" w:type="dxa"/>
            <w:tcBorders>
              <w:top w:val="nil"/>
              <w:left w:val="single" w:sz="8" w:space="0" w:color="auto"/>
              <w:bottom w:val="single" w:sz="4" w:space="0" w:color="auto"/>
              <w:right w:val="single" w:sz="4"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$78,274–$83,407</w:t>
            </w:r>
          </w:p>
        </w:tc>
        <w:tc>
          <w:tcPr>
            <w:tcW w:w="3055" w:type="dxa"/>
            <w:tcBorders>
              <w:top w:val="nil"/>
              <w:left w:val="nil"/>
              <w:bottom w:val="single" w:sz="4" w:space="0" w:color="auto"/>
              <w:right w:val="single" w:sz="8"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7.5%</w:t>
            </w:r>
          </w:p>
        </w:tc>
      </w:tr>
      <w:tr w:rsidR="006357C5" w:rsidRPr="00DC71B4" w:rsidTr="002554CF">
        <w:trPr>
          <w:trHeight w:val="315"/>
          <w:jc w:val="center"/>
        </w:trPr>
        <w:tc>
          <w:tcPr>
            <w:tcW w:w="3650" w:type="dxa"/>
            <w:tcBorders>
              <w:top w:val="nil"/>
              <w:left w:val="single" w:sz="8" w:space="0" w:color="auto"/>
              <w:bottom w:val="single" w:sz="8" w:space="0" w:color="auto"/>
              <w:right w:val="single" w:sz="4"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$83,408 and above</w:t>
            </w:r>
          </w:p>
        </w:tc>
        <w:tc>
          <w:tcPr>
            <w:tcW w:w="3055" w:type="dxa"/>
            <w:tcBorders>
              <w:top w:val="nil"/>
              <w:left w:val="nil"/>
              <w:bottom w:val="single" w:sz="8" w:space="0" w:color="auto"/>
              <w:right w:val="single" w:sz="8" w:space="0" w:color="auto"/>
            </w:tcBorders>
            <w:noWrap/>
            <w:vAlign w:val="center"/>
          </w:tcPr>
          <w:p w:rsidR="006357C5" w:rsidRPr="00DC71B4" w:rsidRDefault="006357C5" w:rsidP="002554CF">
            <w:pPr>
              <w:spacing w:line="240" w:lineRule="auto"/>
              <w:rPr>
                <w:color w:val="000000"/>
                <w:sz w:val="20"/>
                <w:szCs w:val="20"/>
              </w:rPr>
            </w:pPr>
            <w:r w:rsidRPr="00DC71B4">
              <w:rPr>
                <w:color w:val="000000"/>
                <w:sz w:val="20"/>
                <w:szCs w:val="20"/>
              </w:rPr>
              <w:t>8.0%</w:t>
            </w:r>
          </w:p>
        </w:tc>
      </w:tr>
    </w:tbl>
    <w:p w:rsidR="006357C5" w:rsidRPr="00DF0CD6" w:rsidRDefault="006357C5" w:rsidP="006357C5">
      <w:pPr>
        <w:tabs>
          <w:tab w:val="num" w:pos="720"/>
        </w:tabs>
      </w:pPr>
    </w:p>
    <w:p w:rsidR="006357C5" w:rsidRPr="00DF0CD6" w:rsidRDefault="006357C5" w:rsidP="006357C5">
      <w:pPr>
        <w:tabs>
          <w:tab w:val="num" w:pos="720"/>
        </w:tabs>
        <w:jc w:val="both"/>
      </w:pPr>
      <w:r w:rsidRPr="00DF0CD6">
        <w:t>Beneficiaries must start repaying their debt when their repayment income is above the minimum repayment threshold, even if they are still studying. Compulsory repayments continue until the debt has been repaid in full – debt expires only at death. Beneficiaries can also choose to make voluntary payments above their compulsory repayments. For voluntary repayments of A$ 500 or more, a bonus of 10% of the voluntary repayment is credited to the students’ outstanding debt.</w:t>
      </w:r>
    </w:p>
    <w:p w:rsidR="006357C5" w:rsidRPr="00DF0CD6" w:rsidRDefault="006357C5" w:rsidP="006357C5">
      <w:pPr>
        <w:tabs>
          <w:tab w:val="num" w:pos="720"/>
        </w:tabs>
        <w:jc w:val="both"/>
      </w:pPr>
      <w:r w:rsidRPr="00DF0CD6">
        <w:t xml:space="preserve">In addition to financial aid in the form of student loans, the Australian government funds a scholarship program for indigenous students and three targeted income support programs for students in need of financial assistance. These are summarized in Table </w:t>
      </w:r>
      <w:r>
        <w:t>56</w:t>
      </w:r>
      <w:r w:rsidRPr="00DF0CD6">
        <w:t>.</w:t>
      </w:r>
    </w:p>
    <w:p w:rsidR="006357C5" w:rsidRPr="00DF0CD6" w:rsidRDefault="006357C5" w:rsidP="006357C5">
      <w:pPr>
        <w:tabs>
          <w:tab w:val="num" w:pos="720"/>
        </w:tabs>
      </w:pPr>
    </w:p>
    <w:p w:rsidR="006357C5" w:rsidRDefault="006357C5" w:rsidP="006357C5">
      <w:pPr>
        <w:pStyle w:val="TableHeading"/>
      </w:pPr>
      <w:bookmarkStart w:id="66" w:name="_Ref176068588"/>
      <w:bookmarkStart w:id="67" w:name="_Toc328382218"/>
      <w:bookmarkStart w:id="68" w:name="_Toc328742902"/>
      <w:r w:rsidRPr="00DF0CD6">
        <w:t>Table</w:t>
      </w:r>
      <w:bookmarkEnd w:id="66"/>
      <w:r w:rsidRPr="00DF0CD6">
        <w:t xml:space="preserve"> </w:t>
      </w:r>
      <w:r>
        <w:t>56</w:t>
      </w:r>
      <w:r w:rsidRPr="00DF0CD6">
        <w:t>: Public scholarship and income support programs for Australian students</w:t>
      </w:r>
      <w:bookmarkEnd w:id="67"/>
      <w:bookmarkEnd w:id="68"/>
    </w:p>
    <w:p w:rsidR="006357C5" w:rsidRDefault="006357C5" w:rsidP="006357C5">
      <w:pPr>
        <w:pStyle w:val="TableHeading"/>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98"/>
        <w:gridCol w:w="6678"/>
      </w:tblGrid>
      <w:tr w:rsidR="006357C5" w:rsidRPr="00DC71B4" w:rsidTr="002554CF">
        <w:tc>
          <w:tcPr>
            <w:tcW w:w="2898" w:type="dxa"/>
            <w:shd w:val="clear" w:color="auto" w:fill="F2F2F2"/>
            <w:vAlign w:val="center"/>
          </w:tcPr>
          <w:p w:rsidR="006357C5" w:rsidRPr="00DC71B4" w:rsidRDefault="006357C5" w:rsidP="002554CF">
            <w:pPr>
              <w:tabs>
                <w:tab w:val="num" w:pos="720"/>
              </w:tabs>
              <w:rPr>
                <w:b/>
                <w:sz w:val="20"/>
                <w:szCs w:val="20"/>
              </w:rPr>
            </w:pPr>
            <w:r w:rsidRPr="00DC71B4">
              <w:rPr>
                <w:b/>
                <w:sz w:val="20"/>
                <w:szCs w:val="20"/>
              </w:rPr>
              <w:t>Scholarship /grant program</w:t>
            </w:r>
          </w:p>
        </w:tc>
        <w:tc>
          <w:tcPr>
            <w:tcW w:w="6678" w:type="dxa"/>
            <w:shd w:val="clear" w:color="auto" w:fill="F2F2F2"/>
            <w:vAlign w:val="center"/>
          </w:tcPr>
          <w:p w:rsidR="006357C5" w:rsidRPr="00DC71B4" w:rsidRDefault="006357C5" w:rsidP="002554CF">
            <w:pPr>
              <w:tabs>
                <w:tab w:val="num" w:pos="720"/>
              </w:tabs>
              <w:rPr>
                <w:b/>
                <w:sz w:val="20"/>
                <w:szCs w:val="20"/>
              </w:rPr>
            </w:pPr>
            <w:r w:rsidRPr="00DC71B4">
              <w:rPr>
                <w:b/>
                <w:sz w:val="20"/>
                <w:szCs w:val="20"/>
              </w:rPr>
              <w:t>Target group</w:t>
            </w:r>
          </w:p>
        </w:tc>
      </w:tr>
      <w:tr w:rsidR="006357C5" w:rsidRPr="00DC71B4" w:rsidTr="002554CF">
        <w:tc>
          <w:tcPr>
            <w:tcW w:w="2898" w:type="dxa"/>
            <w:vAlign w:val="center"/>
          </w:tcPr>
          <w:p w:rsidR="006357C5" w:rsidRPr="00DC71B4" w:rsidRDefault="006357C5" w:rsidP="002554CF">
            <w:pPr>
              <w:tabs>
                <w:tab w:val="num" w:pos="720"/>
              </w:tabs>
              <w:rPr>
                <w:sz w:val="20"/>
                <w:szCs w:val="20"/>
              </w:rPr>
            </w:pPr>
            <w:r w:rsidRPr="00DC71B4">
              <w:rPr>
                <w:sz w:val="20"/>
                <w:szCs w:val="20"/>
              </w:rPr>
              <w:t>Commonwealth scholarships program</w:t>
            </w:r>
          </w:p>
        </w:tc>
        <w:tc>
          <w:tcPr>
            <w:tcW w:w="6678" w:type="dxa"/>
            <w:vAlign w:val="center"/>
          </w:tcPr>
          <w:p w:rsidR="006357C5" w:rsidRPr="00DC71B4" w:rsidRDefault="006357C5" w:rsidP="002554CF">
            <w:pPr>
              <w:tabs>
                <w:tab w:val="num" w:pos="720"/>
              </w:tabs>
              <w:rPr>
                <w:sz w:val="20"/>
                <w:szCs w:val="20"/>
              </w:rPr>
            </w:pPr>
            <w:r w:rsidRPr="00DC71B4">
              <w:rPr>
                <w:sz w:val="20"/>
                <w:szCs w:val="20"/>
              </w:rPr>
              <w:t>Indigenous students from low socio-economic status backgrounds. There are two scholarships, one for general education costs and one for accommodation costs.</w:t>
            </w:r>
          </w:p>
        </w:tc>
      </w:tr>
      <w:tr w:rsidR="006357C5" w:rsidRPr="00DC71B4" w:rsidTr="002554CF">
        <w:tc>
          <w:tcPr>
            <w:tcW w:w="2898" w:type="dxa"/>
            <w:vAlign w:val="center"/>
          </w:tcPr>
          <w:p w:rsidR="006357C5" w:rsidRPr="00DC71B4" w:rsidRDefault="006357C5" w:rsidP="002554CF">
            <w:pPr>
              <w:tabs>
                <w:tab w:val="num" w:pos="720"/>
              </w:tabs>
              <w:rPr>
                <w:sz w:val="20"/>
                <w:szCs w:val="20"/>
              </w:rPr>
            </w:pPr>
            <w:r w:rsidRPr="00DC71B4">
              <w:rPr>
                <w:sz w:val="20"/>
                <w:szCs w:val="20"/>
              </w:rPr>
              <w:t>Youth Allowance</w:t>
            </w:r>
          </w:p>
        </w:tc>
        <w:tc>
          <w:tcPr>
            <w:tcW w:w="6678" w:type="dxa"/>
            <w:vAlign w:val="center"/>
          </w:tcPr>
          <w:p w:rsidR="006357C5" w:rsidRPr="00DC71B4" w:rsidRDefault="006357C5" w:rsidP="002554CF">
            <w:pPr>
              <w:tabs>
                <w:tab w:val="num" w:pos="720"/>
              </w:tabs>
              <w:rPr>
                <w:sz w:val="20"/>
                <w:szCs w:val="20"/>
              </w:rPr>
            </w:pPr>
            <w:r w:rsidRPr="00DC71B4">
              <w:rPr>
                <w:sz w:val="20"/>
                <w:szCs w:val="20"/>
              </w:rPr>
              <w:t>Targeted income support payments for full-time students aged 16 to 24 assessed to be in need of financial assistance.</w:t>
            </w:r>
          </w:p>
        </w:tc>
      </w:tr>
      <w:tr w:rsidR="006357C5" w:rsidRPr="00DC71B4" w:rsidTr="002554CF">
        <w:tc>
          <w:tcPr>
            <w:tcW w:w="2898" w:type="dxa"/>
            <w:vAlign w:val="center"/>
          </w:tcPr>
          <w:p w:rsidR="006357C5" w:rsidRPr="00DC71B4" w:rsidRDefault="006357C5" w:rsidP="002554CF">
            <w:pPr>
              <w:tabs>
                <w:tab w:val="num" w:pos="720"/>
              </w:tabs>
              <w:rPr>
                <w:sz w:val="20"/>
                <w:szCs w:val="20"/>
              </w:rPr>
            </w:pPr>
            <w:r w:rsidRPr="00DC71B4">
              <w:rPr>
                <w:sz w:val="20"/>
                <w:szCs w:val="20"/>
              </w:rPr>
              <w:t>Austudy</w:t>
            </w:r>
          </w:p>
        </w:tc>
        <w:tc>
          <w:tcPr>
            <w:tcW w:w="6678" w:type="dxa"/>
            <w:vAlign w:val="center"/>
          </w:tcPr>
          <w:p w:rsidR="006357C5" w:rsidRPr="00DC71B4" w:rsidRDefault="006357C5" w:rsidP="002554CF">
            <w:pPr>
              <w:tabs>
                <w:tab w:val="num" w:pos="720"/>
              </w:tabs>
              <w:rPr>
                <w:sz w:val="20"/>
                <w:szCs w:val="20"/>
              </w:rPr>
            </w:pPr>
            <w:r w:rsidRPr="00DC71B4">
              <w:rPr>
                <w:sz w:val="20"/>
                <w:szCs w:val="20"/>
              </w:rPr>
              <w:t>Targeted income support payments for full-time students aged 25 or more assessed to be in need of financial assistance.</w:t>
            </w:r>
          </w:p>
        </w:tc>
      </w:tr>
      <w:tr w:rsidR="006357C5" w:rsidRPr="00DC71B4" w:rsidTr="002554CF">
        <w:tc>
          <w:tcPr>
            <w:tcW w:w="2898" w:type="dxa"/>
            <w:vAlign w:val="center"/>
          </w:tcPr>
          <w:p w:rsidR="006357C5" w:rsidRPr="00DC71B4" w:rsidRDefault="006357C5" w:rsidP="002554CF">
            <w:pPr>
              <w:tabs>
                <w:tab w:val="num" w:pos="720"/>
              </w:tabs>
              <w:rPr>
                <w:sz w:val="20"/>
                <w:szCs w:val="20"/>
              </w:rPr>
            </w:pPr>
            <w:r w:rsidRPr="00DC71B4">
              <w:rPr>
                <w:sz w:val="20"/>
                <w:szCs w:val="20"/>
              </w:rPr>
              <w:t>ABSTUDY</w:t>
            </w:r>
          </w:p>
        </w:tc>
        <w:tc>
          <w:tcPr>
            <w:tcW w:w="6678" w:type="dxa"/>
            <w:vAlign w:val="center"/>
          </w:tcPr>
          <w:p w:rsidR="006357C5" w:rsidRPr="00DC71B4" w:rsidRDefault="006357C5" w:rsidP="002554CF">
            <w:pPr>
              <w:tabs>
                <w:tab w:val="num" w:pos="720"/>
              </w:tabs>
              <w:rPr>
                <w:sz w:val="20"/>
                <w:szCs w:val="20"/>
              </w:rPr>
            </w:pPr>
            <w:r w:rsidRPr="00DC71B4">
              <w:rPr>
                <w:sz w:val="20"/>
                <w:szCs w:val="20"/>
              </w:rPr>
              <w:t>Australian Aboriginal and Torres Strait Islander students undertaking secondary or tertiary studies.</w:t>
            </w:r>
          </w:p>
        </w:tc>
      </w:tr>
    </w:tbl>
    <w:p w:rsidR="006357C5" w:rsidRDefault="006357C5" w:rsidP="006357C5">
      <w:pPr>
        <w:tabs>
          <w:tab w:val="num" w:pos="720"/>
        </w:tabs>
      </w:pPr>
      <w:r w:rsidRPr="00DF0CD6">
        <w:tab/>
      </w:r>
    </w:p>
    <w:p w:rsidR="006357C5" w:rsidRPr="00DF0CD6" w:rsidRDefault="006357C5" w:rsidP="006357C5">
      <w:pPr>
        <w:tabs>
          <w:tab w:val="num" w:pos="720"/>
        </w:tabs>
        <w:jc w:val="both"/>
      </w:pPr>
      <w:r w:rsidRPr="00DF0CD6">
        <w:t>Higher education providers administer the Commonwealth Scholarships on behalf of the Australian Government. The providers are responsible for conducting their own application and selection procedures, in line with guidelines issued by the Government. Youth allowance, Austudy and ABSTUDY are administered by the Department of Human Services of the Australian Government, through a program that centralizes all income support payments, Centrelink.</w:t>
      </w:r>
    </w:p>
    <w:p w:rsidR="006357C5" w:rsidRPr="00DF0CD6" w:rsidRDefault="006357C5" w:rsidP="006357C5">
      <w:pPr>
        <w:tabs>
          <w:tab w:val="num" w:pos="720"/>
        </w:tabs>
        <w:jc w:val="both"/>
      </w:pPr>
    </w:p>
    <w:p w:rsidR="006357C5" w:rsidRPr="00801949" w:rsidRDefault="006357C5" w:rsidP="006357C5">
      <w:pPr>
        <w:rPr>
          <w:b/>
        </w:rPr>
      </w:pPr>
      <w:r w:rsidRPr="00801949">
        <w:rPr>
          <w:b/>
        </w:rPr>
        <w:lastRenderedPageBreak/>
        <w:t>D) Tensions in the system: recent reforms and prospects for reform in the mid-term</w:t>
      </w:r>
    </w:p>
    <w:p w:rsidR="006357C5" w:rsidRPr="00DF0CD6" w:rsidRDefault="006357C5" w:rsidP="006357C5">
      <w:pPr>
        <w:jc w:val="both"/>
      </w:pPr>
      <w:r w:rsidRPr="00DF0CD6">
        <w:t xml:space="preserve">The Australian tertiary education financing system has undergone a series of reforms in the last decade. In fact, since the so-called Dawkins revolution (the changes introduced by the homonym Education minister in the late 1980’s), Australia has gone through a process of deepening reform, broadening the scope of tertiary education financing, and fine-tuning incentives. The most important changes came in 2003, after the Government launched a comprehensive, consultation-led review of its tertiary education system under the name Higher Education at the Crossroads. This process responded to concerns about the need for more funding and larger scope of the tertiary education system. On the basis of that consultation, the Government issued a new set of policies through the 2003 Higher Education Support Act, and provided a significant increase in resources for universities. This new package included additional Government-supported places for students, and an expansion of the student loans scheme, new scholarships for students (OECD 2007). </w:t>
      </w:r>
    </w:p>
    <w:p w:rsidR="006357C5" w:rsidRPr="00DF0CD6" w:rsidRDefault="006357C5" w:rsidP="006357C5">
      <w:pPr>
        <w:jc w:val="both"/>
      </w:pPr>
    </w:p>
    <w:p w:rsidR="006357C5" w:rsidRDefault="006357C5" w:rsidP="006357C5">
      <w:pPr>
        <w:jc w:val="both"/>
      </w:pPr>
      <w:r w:rsidRPr="00DF0CD6">
        <w:t xml:space="preserve">On the other hand, a number of changes have been approved in 2011 to come into effect in 2012. Importantly, from 2012 onwards, the Government will no longer cap the number of Commonwealth Supported Places except in the field of Medicine, switching to a demand-driven system in which public funds are granted to public universities for all undergraduate domestic students accepted into a higher education course. Institutions will therefore be the ones deciding how many places, and in which disciplines, they will offer – a supply they can adapt to the demand of the labor market and of students themselves. Moreover, the subsidy on voluntary repayments and on up-front payments are being reduced from 10 to 5% and from 20 to 10% respectively. Finally, the reforms remove the Student Learning Environment, through which the number of years a student can benefit from the Commonwealth Grant Scheme is currently capped to seven. </w:t>
      </w:r>
    </w:p>
    <w:p w:rsidR="006357C5" w:rsidRPr="00DF0CD6" w:rsidRDefault="006357C5" w:rsidP="006357C5">
      <w:pPr>
        <w:jc w:val="both"/>
      </w:pPr>
    </w:p>
    <w:p w:rsidR="006357C5" w:rsidRDefault="006357C5" w:rsidP="006357C5">
      <w:pPr>
        <w:pStyle w:val="Heading2"/>
      </w:pPr>
      <w:bookmarkStart w:id="69" w:name="_Toc312158933"/>
      <w:bookmarkStart w:id="70" w:name="_Toc315363051"/>
      <w:bookmarkStart w:id="71" w:name="_Toc327186208"/>
      <w:bookmarkStart w:id="72" w:name="_Toc328573832"/>
      <w:bookmarkStart w:id="73" w:name="_Toc345342925"/>
      <w:r w:rsidRPr="00575059">
        <w:t>New Zealand</w:t>
      </w:r>
      <w:bookmarkEnd w:id="69"/>
      <w:bookmarkEnd w:id="70"/>
      <w:bookmarkEnd w:id="71"/>
      <w:bookmarkEnd w:id="72"/>
      <w:bookmarkEnd w:id="73"/>
    </w:p>
    <w:p w:rsidR="006357C5" w:rsidRPr="00801949" w:rsidRDefault="006357C5" w:rsidP="006357C5"/>
    <w:p w:rsidR="006357C5" w:rsidRDefault="006357C5" w:rsidP="006357C5">
      <w:pPr>
        <w:rPr>
          <w:b/>
        </w:rPr>
      </w:pPr>
      <w:r w:rsidRPr="00801949">
        <w:rPr>
          <w:b/>
        </w:rPr>
        <w:t>A) Overview of tertiary education financing</w:t>
      </w:r>
    </w:p>
    <w:p w:rsidR="006357C5" w:rsidRPr="00801949" w:rsidRDefault="006357C5" w:rsidP="006357C5">
      <w:pPr>
        <w:rPr>
          <w:b/>
        </w:rPr>
      </w:pPr>
    </w:p>
    <w:p w:rsidR="006357C5" w:rsidRPr="00DF0CD6" w:rsidRDefault="006357C5" w:rsidP="006357C5">
      <w:pPr>
        <w:pStyle w:val="ListParagraph"/>
        <w:tabs>
          <w:tab w:val="left" w:pos="270"/>
        </w:tabs>
        <w:ind w:left="0"/>
        <w:contextualSpacing w:val="0"/>
        <w:jc w:val="both"/>
      </w:pPr>
      <w:r w:rsidRPr="00DF0CD6">
        <w:t>New Zealand, with a population of 4.4 million people and a GDP per capita of US$29,813 and a Gini coefficient at 0.33, constitutes an additional Anglo-Saxon country whose student aid system is worth analyzing. Although tax revenue is the major source of core Government revenue (amounting to 31.3% of GDP versus 38.34% of GDP for total Government revenue), New Zealand is one of the OECD countries with the lowest tax burden on income, and the only OECD country that does not levy compulsory social security contributions. In 2010, a single person earning an average annual gross full-time wage of $31,152 USD faced a 16.88% tax wedge.</w:t>
      </w:r>
      <w:r w:rsidRPr="00DF0CD6">
        <w:rPr>
          <w:rStyle w:val="FootnoteReference"/>
          <w:rFonts w:cs="Arial"/>
        </w:rPr>
        <w:footnoteReference w:id="9"/>
      </w:r>
    </w:p>
    <w:p w:rsidR="006357C5" w:rsidRDefault="006357C5" w:rsidP="006357C5">
      <w:pPr>
        <w:pStyle w:val="ListParagraph"/>
        <w:tabs>
          <w:tab w:val="left" w:pos="270"/>
        </w:tabs>
        <w:ind w:left="0"/>
        <w:contextualSpacing w:val="0"/>
        <w:jc w:val="both"/>
        <w:rPr>
          <w:iCs/>
        </w:rPr>
      </w:pPr>
      <w:r w:rsidRPr="00DF0CD6">
        <w:rPr>
          <w:iCs/>
        </w:rPr>
        <w:lastRenderedPageBreak/>
        <w:t xml:space="preserve">Table </w:t>
      </w:r>
      <w:r>
        <w:rPr>
          <w:iCs/>
        </w:rPr>
        <w:t>57</w:t>
      </w:r>
      <w:r w:rsidRPr="00DF0CD6">
        <w:rPr>
          <w:iCs/>
        </w:rPr>
        <w:t xml:space="preserve"> reports some basic facts corresponding to New Zealand, which will allow us to frame the evidence about its tertiary education finance and specifically its student aid system. Annex 2 presents this and additional data in the context of international comparison with other OECD economies. </w:t>
      </w:r>
    </w:p>
    <w:p w:rsidR="006357C5" w:rsidRDefault="006357C5" w:rsidP="006357C5">
      <w:pPr>
        <w:pStyle w:val="TableHeading"/>
      </w:pPr>
      <w:bookmarkStart w:id="74" w:name="_Toc328382219"/>
      <w:bookmarkStart w:id="75" w:name="_Toc328742903"/>
      <w:r w:rsidRPr="00DF0CD6">
        <w:t xml:space="preserve">Table </w:t>
      </w:r>
      <w:r>
        <w:t>57:</w:t>
      </w:r>
      <w:r w:rsidRPr="00DF0CD6">
        <w:t xml:space="preserve"> New Zealand: Basic facts</w:t>
      </w:r>
      <w:bookmarkEnd w:id="74"/>
      <w:bookmarkEnd w:id="75"/>
    </w:p>
    <w:p w:rsidR="006357C5" w:rsidRDefault="006357C5" w:rsidP="006357C5">
      <w:pPr>
        <w:pStyle w:val="TableHeading"/>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48"/>
        <w:gridCol w:w="3528"/>
      </w:tblGrid>
      <w:tr w:rsidR="006357C5" w:rsidRPr="00DC71B4" w:rsidTr="002554CF">
        <w:tc>
          <w:tcPr>
            <w:tcW w:w="6048" w:type="dxa"/>
          </w:tcPr>
          <w:p w:rsidR="006357C5" w:rsidRPr="00DC71B4" w:rsidRDefault="006357C5" w:rsidP="002554CF">
            <w:pPr>
              <w:tabs>
                <w:tab w:val="left" w:pos="270"/>
              </w:tabs>
              <w:rPr>
                <w:iCs/>
                <w:sz w:val="20"/>
                <w:szCs w:val="20"/>
              </w:rPr>
            </w:pPr>
            <w:r w:rsidRPr="00DC71B4">
              <w:rPr>
                <w:iCs/>
                <w:sz w:val="20"/>
                <w:szCs w:val="20"/>
              </w:rPr>
              <w:t>Population (millions) (2010)</w:t>
            </w:r>
          </w:p>
        </w:tc>
        <w:tc>
          <w:tcPr>
            <w:tcW w:w="3528" w:type="dxa"/>
          </w:tcPr>
          <w:p w:rsidR="006357C5" w:rsidRPr="00DC71B4" w:rsidRDefault="006357C5" w:rsidP="002554CF">
            <w:pPr>
              <w:tabs>
                <w:tab w:val="left" w:pos="270"/>
              </w:tabs>
              <w:rPr>
                <w:iCs/>
                <w:sz w:val="20"/>
                <w:szCs w:val="20"/>
              </w:rPr>
            </w:pPr>
            <w:r w:rsidRPr="00DC71B4">
              <w:rPr>
                <w:iCs/>
                <w:sz w:val="20"/>
                <w:szCs w:val="20"/>
              </w:rPr>
              <w:t>4.4</w:t>
            </w:r>
          </w:p>
        </w:tc>
      </w:tr>
      <w:tr w:rsidR="006357C5" w:rsidRPr="00DC71B4" w:rsidTr="002554CF">
        <w:tc>
          <w:tcPr>
            <w:tcW w:w="6048" w:type="dxa"/>
          </w:tcPr>
          <w:p w:rsidR="006357C5" w:rsidRPr="00DC71B4" w:rsidRDefault="006357C5" w:rsidP="002554CF">
            <w:pPr>
              <w:tabs>
                <w:tab w:val="left" w:pos="270"/>
              </w:tabs>
              <w:rPr>
                <w:iCs/>
                <w:sz w:val="20"/>
                <w:szCs w:val="20"/>
              </w:rPr>
            </w:pPr>
            <w:r w:rsidRPr="00DC71B4">
              <w:rPr>
                <w:iCs/>
                <w:sz w:val="20"/>
                <w:szCs w:val="20"/>
              </w:rPr>
              <w:t>GDP per capita (US$, current prices and PPP) (2010)</w:t>
            </w:r>
          </w:p>
        </w:tc>
        <w:tc>
          <w:tcPr>
            <w:tcW w:w="3528" w:type="dxa"/>
          </w:tcPr>
          <w:p w:rsidR="006357C5" w:rsidRPr="00DC71B4" w:rsidRDefault="006357C5" w:rsidP="002554CF">
            <w:pPr>
              <w:tabs>
                <w:tab w:val="left" w:pos="270"/>
              </w:tabs>
              <w:rPr>
                <w:iCs/>
                <w:sz w:val="20"/>
                <w:szCs w:val="20"/>
              </w:rPr>
            </w:pPr>
            <w:r w:rsidRPr="00DC71B4">
              <w:rPr>
                <w:iCs/>
                <w:sz w:val="20"/>
                <w:szCs w:val="20"/>
              </w:rPr>
              <w:t>29,813</w:t>
            </w:r>
          </w:p>
        </w:tc>
      </w:tr>
      <w:tr w:rsidR="006357C5" w:rsidRPr="00DC71B4" w:rsidTr="002554CF">
        <w:tc>
          <w:tcPr>
            <w:tcW w:w="6048" w:type="dxa"/>
          </w:tcPr>
          <w:p w:rsidR="006357C5" w:rsidRPr="00DC71B4" w:rsidRDefault="006357C5" w:rsidP="002554CF">
            <w:pPr>
              <w:tabs>
                <w:tab w:val="left" w:pos="270"/>
              </w:tabs>
              <w:rPr>
                <w:iCs/>
                <w:sz w:val="20"/>
                <w:szCs w:val="20"/>
              </w:rPr>
            </w:pPr>
            <w:r w:rsidRPr="00DC71B4">
              <w:rPr>
                <w:iCs/>
                <w:sz w:val="20"/>
                <w:szCs w:val="20"/>
              </w:rPr>
              <w:t>Gini coefficient (late 2000’s)</w:t>
            </w:r>
          </w:p>
        </w:tc>
        <w:tc>
          <w:tcPr>
            <w:tcW w:w="3528" w:type="dxa"/>
          </w:tcPr>
          <w:p w:rsidR="006357C5" w:rsidRPr="00DC71B4" w:rsidRDefault="006357C5" w:rsidP="002554CF">
            <w:pPr>
              <w:tabs>
                <w:tab w:val="left" w:pos="270"/>
              </w:tabs>
              <w:rPr>
                <w:iCs/>
                <w:sz w:val="20"/>
                <w:szCs w:val="20"/>
              </w:rPr>
            </w:pPr>
            <w:r w:rsidRPr="00DC71B4">
              <w:rPr>
                <w:iCs/>
                <w:sz w:val="20"/>
                <w:szCs w:val="20"/>
              </w:rPr>
              <w:t>0.33</w:t>
            </w:r>
          </w:p>
        </w:tc>
      </w:tr>
      <w:tr w:rsidR="006357C5" w:rsidRPr="00DC71B4" w:rsidTr="002554CF">
        <w:tc>
          <w:tcPr>
            <w:tcW w:w="6048" w:type="dxa"/>
          </w:tcPr>
          <w:p w:rsidR="006357C5" w:rsidRPr="00DC71B4" w:rsidRDefault="006357C5" w:rsidP="002554CF">
            <w:pPr>
              <w:tabs>
                <w:tab w:val="left" w:pos="270"/>
              </w:tabs>
              <w:rPr>
                <w:iCs/>
                <w:sz w:val="20"/>
                <w:szCs w:val="20"/>
              </w:rPr>
            </w:pPr>
            <w:r w:rsidRPr="00DC71B4">
              <w:rPr>
                <w:iCs/>
                <w:sz w:val="20"/>
                <w:szCs w:val="20"/>
              </w:rPr>
              <w:t>Total tax revenue as a percentage of GDP (2010)</w:t>
            </w:r>
          </w:p>
        </w:tc>
        <w:tc>
          <w:tcPr>
            <w:tcW w:w="3528" w:type="dxa"/>
          </w:tcPr>
          <w:p w:rsidR="006357C5" w:rsidRPr="00DC71B4" w:rsidRDefault="006357C5" w:rsidP="002554CF">
            <w:pPr>
              <w:tabs>
                <w:tab w:val="left" w:pos="270"/>
              </w:tabs>
              <w:rPr>
                <w:iCs/>
                <w:sz w:val="20"/>
                <w:szCs w:val="20"/>
              </w:rPr>
            </w:pPr>
            <w:r w:rsidRPr="00DC71B4">
              <w:rPr>
                <w:iCs/>
                <w:sz w:val="20"/>
                <w:szCs w:val="20"/>
              </w:rPr>
              <w:t>31.3</w:t>
            </w:r>
          </w:p>
        </w:tc>
      </w:tr>
      <w:tr w:rsidR="006357C5" w:rsidRPr="00DC71B4" w:rsidTr="002554CF">
        <w:tc>
          <w:tcPr>
            <w:tcW w:w="6048" w:type="dxa"/>
          </w:tcPr>
          <w:p w:rsidR="006357C5" w:rsidRPr="00DC71B4" w:rsidRDefault="006357C5" w:rsidP="002554CF">
            <w:pPr>
              <w:tabs>
                <w:tab w:val="left" w:pos="270"/>
              </w:tabs>
              <w:rPr>
                <w:iCs/>
                <w:sz w:val="20"/>
                <w:szCs w:val="20"/>
              </w:rPr>
            </w:pPr>
            <w:r w:rsidRPr="00DC71B4">
              <w:rPr>
                <w:iCs/>
                <w:sz w:val="20"/>
                <w:szCs w:val="20"/>
              </w:rPr>
              <w:t>Public social expenditure as a percentage of GDP (2007)</w:t>
            </w:r>
          </w:p>
        </w:tc>
        <w:tc>
          <w:tcPr>
            <w:tcW w:w="3528" w:type="dxa"/>
          </w:tcPr>
          <w:p w:rsidR="006357C5" w:rsidRPr="00DC71B4" w:rsidRDefault="006357C5" w:rsidP="002554CF">
            <w:pPr>
              <w:tabs>
                <w:tab w:val="left" w:pos="270"/>
              </w:tabs>
              <w:rPr>
                <w:iCs/>
                <w:sz w:val="20"/>
                <w:szCs w:val="20"/>
              </w:rPr>
            </w:pPr>
            <w:r w:rsidRPr="00DC71B4">
              <w:rPr>
                <w:iCs/>
                <w:sz w:val="20"/>
                <w:szCs w:val="20"/>
              </w:rPr>
              <w:t>18.39</w:t>
            </w:r>
          </w:p>
        </w:tc>
      </w:tr>
      <w:tr w:rsidR="006357C5" w:rsidRPr="00DC71B4" w:rsidTr="002554CF">
        <w:tc>
          <w:tcPr>
            <w:tcW w:w="6048" w:type="dxa"/>
          </w:tcPr>
          <w:p w:rsidR="006357C5" w:rsidRPr="00DC71B4" w:rsidRDefault="006357C5" w:rsidP="002554CF">
            <w:pPr>
              <w:tabs>
                <w:tab w:val="left" w:pos="270"/>
              </w:tabs>
              <w:rPr>
                <w:iCs/>
                <w:sz w:val="20"/>
                <w:szCs w:val="20"/>
              </w:rPr>
            </w:pPr>
            <w:r w:rsidRPr="00DC71B4">
              <w:rPr>
                <w:iCs/>
                <w:sz w:val="20"/>
                <w:szCs w:val="20"/>
              </w:rPr>
              <w:t>Public expenditure on tertiary education as a percentage of GDP (2008)</w:t>
            </w:r>
          </w:p>
        </w:tc>
        <w:tc>
          <w:tcPr>
            <w:tcW w:w="3528" w:type="dxa"/>
          </w:tcPr>
          <w:p w:rsidR="006357C5" w:rsidRPr="00DC71B4" w:rsidRDefault="006357C5" w:rsidP="002554CF">
            <w:pPr>
              <w:tabs>
                <w:tab w:val="left" w:pos="270"/>
              </w:tabs>
              <w:rPr>
                <w:iCs/>
                <w:sz w:val="20"/>
                <w:szCs w:val="20"/>
              </w:rPr>
            </w:pPr>
            <w:r w:rsidRPr="00DC71B4">
              <w:rPr>
                <w:iCs/>
                <w:sz w:val="20"/>
                <w:szCs w:val="20"/>
              </w:rPr>
              <w:t>1.12</w:t>
            </w:r>
          </w:p>
        </w:tc>
      </w:tr>
      <w:tr w:rsidR="006357C5" w:rsidRPr="00DC71B4" w:rsidTr="002554CF">
        <w:tc>
          <w:tcPr>
            <w:tcW w:w="6048" w:type="dxa"/>
          </w:tcPr>
          <w:p w:rsidR="006357C5" w:rsidRPr="00DC71B4" w:rsidRDefault="006357C5" w:rsidP="002554CF">
            <w:pPr>
              <w:tabs>
                <w:tab w:val="left" w:pos="270"/>
              </w:tabs>
              <w:rPr>
                <w:iCs/>
                <w:sz w:val="20"/>
                <w:szCs w:val="20"/>
              </w:rPr>
            </w:pPr>
            <w:r w:rsidRPr="00DC71B4">
              <w:rPr>
                <w:iCs/>
                <w:sz w:val="20"/>
                <w:szCs w:val="20"/>
              </w:rPr>
              <w:t>Private expenditure on tertiary education as a percentage of GDP (2008)</w:t>
            </w:r>
          </w:p>
        </w:tc>
        <w:tc>
          <w:tcPr>
            <w:tcW w:w="3528" w:type="dxa"/>
          </w:tcPr>
          <w:p w:rsidR="006357C5" w:rsidRPr="00DC71B4" w:rsidRDefault="006357C5" w:rsidP="002554CF">
            <w:pPr>
              <w:tabs>
                <w:tab w:val="left" w:pos="270"/>
              </w:tabs>
              <w:rPr>
                <w:iCs/>
                <w:sz w:val="20"/>
                <w:szCs w:val="20"/>
              </w:rPr>
            </w:pPr>
            <w:r w:rsidRPr="00DC71B4">
              <w:rPr>
                <w:iCs/>
                <w:sz w:val="20"/>
                <w:szCs w:val="20"/>
              </w:rPr>
              <w:t>0.47</w:t>
            </w:r>
          </w:p>
        </w:tc>
      </w:tr>
      <w:tr w:rsidR="006357C5" w:rsidRPr="00DC71B4" w:rsidTr="002554CF">
        <w:tc>
          <w:tcPr>
            <w:tcW w:w="6048" w:type="dxa"/>
          </w:tcPr>
          <w:p w:rsidR="006357C5" w:rsidRPr="00DC71B4" w:rsidRDefault="006357C5" w:rsidP="002554CF">
            <w:pPr>
              <w:tabs>
                <w:tab w:val="left" w:pos="270"/>
              </w:tabs>
              <w:rPr>
                <w:iCs/>
                <w:sz w:val="20"/>
                <w:szCs w:val="20"/>
              </w:rPr>
            </w:pPr>
            <w:r w:rsidRPr="00DC71B4">
              <w:rPr>
                <w:iCs/>
                <w:sz w:val="20"/>
                <w:szCs w:val="20"/>
              </w:rPr>
              <w:t>Total number of students enrolled in tertiary education institutions, both public and private (in millions) (2009)</w:t>
            </w:r>
          </w:p>
        </w:tc>
        <w:tc>
          <w:tcPr>
            <w:tcW w:w="3528" w:type="dxa"/>
          </w:tcPr>
          <w:p w:rsidR="006357C5" w:rsidRPr="00DC71B4" w:rsidRDefault="006357C5" w:rsidP="002554CF">
            <w:pPr>
              <w:tabs>
                <w:tab w:val="left" w:pos="270"/>
              </w:tabs>
              <w:rPr>
                <w:iCs/>
                <w:sz w:val="20"/>
                <w:szCs w:val="20"/>
              </w:rPr>
            </w:pPr>
            <w:r w:rsidRPr="00DC71B4">
              <w:rPr>
                <w:iCs/>
                <w:sz w:val="20"/>
                <w:szCs w:val="20"/>
              </w:rPr>
              <w:t>0.26</w:t>
            </w:r>
          </w:p>
        </w:tc>
      </w:tr>
      <w:tr w:rsidR="006357C5" w:rsidRPr="00DC71B4" w:rsidTr="002554CF">
        <w:tc>
          <w:tcPr>
            <w:tcW w:w="6048" w:type="dxa"/>
          </w:tcPr>
          <w:p w:rsidR="006357C5" w:rsidRPr="00DC71B4" w:rsidRDefault="006357C5" w:rsidP="002554CF">
            <w:pPr>
              <w:tabs>
                <w:tab w:val="left" w:pos="270"/>
              </w:tabs>
              <w:rPr>
                <w:iCs/>
                <w:sz w:val="20"/>
                <w:szCs w:val="20"/>
              </w:rPr>
            </w:pPr>
            <w:r w:rsidRPr="00DC71B4">
              <w:rPr>
                <w:iCs/>
                <w:sz w:val="20"/>
                <w:szCs w:val="20"/>
              </w:rPr>
              <w:t>Proportion of students who benefit from public loans and/or scholarships/grants (2008-2009)</w:t>
            </w:r>
          </w:p>
        </w:tc>
        <w:tc>
          <w:tcPr>
            <w:tcW w:w="3528" w:type="dxa"/>
          </w:tcPr>
          <w:p w:rsidR="006357C5" w:rsidRPr="00DC71B4" w:rsidRDefault="006357C5" w:rsidP="002554CF">
            <w:pPr>
              <w:tabs>
                <w:tab w:val="left" w:pos="270"/>
              </w:tabs>
              <w:rPr>
                <w:iCs/>
                <w:sz w:val="20"/>
                <w:szCs w:val="20"/>
              </w:rPr>
            </w:pPr>
            <w:r w:rsidRPr="00DC71B4">
              <w:rPr>
                <w:iCs/>
                <w:sz w:val="20"/>
                <w:szCs w:val="20"/>
              </w:rPr>
              <w:t>90</w:t>
            </w:r>
          </w:p>
        </w:tc>
      </w:tr>
      <w:tr w:rsidR="006357C5" w:rsidRPr="00DC71B4" w:rsidTr="002554CF">
        <w:tc>
          <w:tcPr>
            <w:tcW w:w="6048" w:type="dxa"/>
          </w:tcPr>
          <w:p w:rsidR="006357C5" w:rsidRPr="00DC71B4" w:rsidRDefault="006357C5" w:rsidP="002554CF">
            <w:pPr>
              <w:tabs>
                <w:tab w:val="left" w:pos="270"/>
              </w:tabs>
              <w:rPr>
                <w:iCs/>
                <w:sz w:val="20"/>
                <w:szCs w:val="20"/>
              </w:rPr>
            </w:pPr>
            <w:r w:rsidRPr="00DC71B4">
              <w:rPr>
                <w:iCs/>
                <w:sz w:val="20"/>
                <w:szCs w:val="20"/>
              </w:rPr>
              <w:t>Student loans as a percentage of total public expenditure on tertiary education (2008)</w:t>
            </w:r>
          </w:p>
        </w:tc>
        <w:tc>
          <w:tcPr>
            <w:tcW w:w="3528" w:type="dxa"/>
          </w:tcPr>
          <w:p w:rsidR="006357C5" w:rsidRPr="00DC71B4" w:rsidRDefault="006357C5" w:rsidP="002554CF">
            <w:pPr>
              <w:tabs>
                <w:tab w:val="left" w:pos="270"/>
              </w:tabs>
              <w:rPr>
                <w:iCs/>
                <w:sz w:val="20"/>
                <w:szCs w:val="20"/>
              </w:rPr>
            </w:pPr>
            <w:r w:rsidRPr="00DC71B4">
              <w:rPr>
                <w:iCs/>
                <w:sz w:val="20"/>
                <w:szCs w:val="20"/>
              </w:rPr>
              <w:t>30.9</w:t>
            </w:r>
          </w:p>
        </w:tc>
      </w:tr>
      <w:tr w:rsidR="006357C5" w:rsidRPr="00DC71B4" w:rsidTr="002554CF">
        <w:tc>
          <w:tcPr>
            <w:tcW w:w="6048" w:type="dxa"/>
          </w:tcPr>
          <w:p w:rsidR="006357C5" w:rsidRPr="00DC71B4" w:rsidRDefault="006357C5" w:rsidP="002554CF">
            <w:pPr>
              <w:tabs>
                <w:tab w:val="left" w:pos="270"/>
              </w:tabs>
              <w:rPr>
                <w:iCs/>
                <w:sz w:val="20"/>
                <w:szCs w:val="20"/>
              </w:rPr>
            </w:pPr>
            <w:r w:rsidRPr="00DC71B4">
              <w:rPr>
                <w:iCs/>
                <w:sz w:val="20"/>
                <w:szCs w:val="20"/>
              </w:rPr>
              <w:t>Scholarships and other grants to households as percentage of total public expenditure on tertiary education (2008)</w:t>
            </w:r>
          </w:p>
        </w:tc>
        <w:tc>
          <w:tcPr>
            <w:tcW w:w="3528" w:type="dxa"/>
          </w:tcPr>
          <w:p w:rsidR="006357C5" w:rsidRPr="00DC71B4" w:rsidRDefault="006357C5" w:rsidP="002554CF">
            <w:pPr>
              <w:tabs>
                <w:tab w:val="left" w:pos="270"/>
              </w:tabs>
              <w:rPr>
                <w:iCs/>
                <w:sz w:val="20"/>
                <w:szCs w:val="20"/>
              </w:rPr>
            </w:pPr>
            <w:r w:rsidRPr="00DC71B4">
              <w:rPr>
                <w:iCs/>
                <w:sz w:val="20"/>
                <w:szCs w:val="20"/>
              </w:rPr>
              <w:t>10.7</w:t>
            </w:r>
          </w:p>
        </w:tc>
      </w:tr>
    </w:tbl>
    <w:p w:rsidR="006357C5" w:rsidRDefault="006357C5" w:rsidP="006357C5">
      <w:pPr>
        <w:tabs>
          <w:tab w:val="left" w:pos="270"/>
        </w:tabs>
        <w:rPr>
          <w:iCs/>
          <w:sz w:val="18"/>
          <w:szCs w:val="18"/>
        </w:rPr>
      </w:pPr>
      <w:r w:rsidRPr="009F5024">
        <w:rPr>
          <w:sz w:val="18"/>
          <w:u w:val="single"/>
        </w:rPr>
        <w:t>Source:</w:t>
      </w:r>
      <w:r w:rsidRPr="00575059">
        <w:rPr>
          <w:iCs/>
          <w:sz w:val="18"/>
          <w:szCs w:val="18"/>
        </w:rPr>
        <w:t xml:space="preserve"> OECD</w:t>
      </w:r>
    </w:p>
    <w:p w:rsidR="006357C5" w:rsidRDefault="006357C5" w:rsidP="006357C5">
      <w:pPr>
        <w:tabs>
          <w:tab w:val="left" w:pos="270"/>
        </w:tabs>
        <w:rPr>
          <w:iCs/>
          <w:sz w:val="18"/>
          <w:szCs w:val="18"/>
        </w:rPr>
      </w:pPr>
    </w:p>
    <w:p w:rsidR="006357C5" w:rsidRDefault="006357C5" w:rsidP="006357C5">
      <w:pPr>
        <w:pStyle w:val="ListParagraph"/>
        <w:tabs>
          <w:tab w:val="left" w:pos="270"/>
        </w:tabs>
        <w:ind w:left="0"/>
        <w:contextualSpacing w:val="0"/>
        <w:jc w:val="both"/>
        <w:rPr>
          <w:color w:val="262626"/>
        </w:rPr>
      </w:pPr>
      <w:r w:rsidRPr="00DF0CD6">
        <w:t>In New Zealand, tertiary education covers a wide range of learning systems: industry or workplace training; modern apprenticeships; literacy, numeracy and language skills development; vocational skills training; transition to the workforce studies; higher education and research; and youth programs. In the same way, the tertiary education sector is composed of various types of tertiary education institutions (TEIs), which include eight public universities, 20 public institutes of technology and polytechnics (IEPs), over 700 private training establishments (PTE) and three public wānanga (institutions that provide quality education following teaching and learning principles of the Māori, the native people of New Zealand).</w:t>
      </w:r>
      <w:r w:rsidRPr="00DF0CD6">
        <w:rPr>
          <w:rStyle w:val="FootnoteReference"/>
          <w:rFonts w:cs="Arial"/>
        </w:rPr>
        <w:footnoteReference w:id="10"/>
      </w:r>
      <w:r w:rsidRPr="00DF0CD6">
        <w:t xml:space="preserve"> The New Zealand Association of Private Education Providers (NZAPEP) represents private tertiary institutions.</w:t>
      </w:r>
      <w:r w:rsidRPr="00DF0CD6">
        <w:rPr>
          <w:color w:val="262626"/>
        </w:rPr>
        <w:t xml:space="preserve"> </w:t>
      </w:r>
    </w:p>
    <w:p w:rsidR="006357C5" w:rsidRPr="00DF0CD6" w:rsidRDefault="006357C5" w:rsidP="006357C5">
      <w:pPr>
        <w:pStyle w:val="ListParagraph"/>
        <w:tabs>
          <w:tab w:val="left" w:pos="270"/>
        </w:tabs>
        <w:ind w:left="0"/>
        <w:contextualSpacing w:val="0"/>
        <w:jc w:val="both"/>
        <w:rPr>
          <w:color w:val="262626"/>
        </w:rPr>
      </w:pPr>
    </w:p>
    <w:p w:rsidR="006357C5" w:rsidRDefault="006357C5" w:rsidP="006357C5">
      <w:pPr>
        <w:pStyle w:val="TableHeading"/>
        <w:keepNext/>
      </w:pPr>
      <w:bookmarkStart w:id="76" w:name="_Toc328382220"/>
      <w:bookmarkStart w:id="77" w:name="_Toc328742904"/>
      <w:r w:rsidRPr="00DF0CD6">
        <w:lastRenderedPageBreak/>
        <w:t xml:space="preserve">Table </w:t>
      </w:r>
      <w:r>
        <w:t>58</w:t>
      </w:r>
      <w:r w:rsidRPr="00DF0CD6">
        <w:t>: Types of Tertiary Education Institutions (2010/11, full-time full-year students)</w:t>
      </w:r>
      <w:bookmarkEnd w:id="76"/>
      <w:bookmarkEnd w:id="77"/>
    </w:p>
    <w:p w:rsidR="006357C5" w:rsidRPr="00DF0CD6" w:rsidRDefault="006357C5" w:rsidP="006357C5">
      <w:pPr>
        <w:pStyle w:val="TableHeading"/>
        <w:keepNext/>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4698"/>
        <w:gridCol w:w="2160"/>
        <w:gridCol w:w="2718"/>
      </w:tblGrid>
      <w:tr w:rsidR="006357C5" w:rsidRPr="00DC71B4" w:rsidTr="002554CF">
        <w:tc>
          <w:tcPr>
            <w:tcW w:w="4698" w:type="dxa"/>
            <w:shd w:val="clear" w:color="auto" w:fill="F2F2F2"/>
            <w:vAlign w:val="center"/>
          </w:tcPr>
          <w:p w:rsidR="006357C5" w:rsidRPr="00DC71B4" w:rsidRDefault="006357C5" w:rsidP="002554CF">
            <w:pPr>
              <w:pStyle w:val="ListParagraph"/>
              <w:keepNext/>
              <w:tabs>
                <w:tab w:val="left" w:pos="270"/>
              </w:tabs>
              <w:ind w:left="0"/>
              <w:contextualSpacing w:val="0"/>
              <w:jc w:val="center"/>
              <w:rPr>
                <w:b/>
                <w:bCs/>
                <w:sz w:val="20"/>
                <w:szCs w:val="20"/>
              </w:rPr>
            </w:pPr>
            <w:r w:rsidRPr="00DC71B4">
              <w:rPr>
                <w:b/>
                <w:bCs/>
                <w:sz w:val="20"/>
                <w:szCs w:val="20"/>
              </w:rPr>
              <w:t>Type of TEI</w:t>
            </w:r>
          </w:p>
        </w:tc>
        <w:tc>
          <w:tcPr>
            <w:tcW w:w="2160" w:type="dxa"/>
            <w:shd w:val="clear" w:color="auto" w:fill="F2F2F2"/>
            <w:vAlign w:val="center"/>
          </w:tcPr>
          <w:p w:rsidR="006357C5" w:rsidRPr="00DC71B4" w:rsidRDefault="006357C5" w:rsidP="002554CF">
            <w:pPr>
              <w:pStyle w:val="ListParagraph"/>
              <w:keepNext/>
              <w:tabs>
                <w:tab w:val="left" w:pos="270"/>
              </w:tabs>
              <w:ind w:left="0"/>
              <w:contextualSpacing w:val="0"/>
              <w:jc w:val="center"/>
              <w:rPr>
                <w:b/>
                <w:bCs/>
                <w:sz w:val="20"/>
                <w:szCs w:val="20"/>
              </w:rPr>
            </w:pPr>
            <w:r w:rsidRPr="00DC71B4">
              <w:rPr>
                <w:b/>
                <w:bCs/>
                <w:sz w:val="20"/>
                <w:szCs w:val="20"/>
              </w:rPr>
              <w:t>Number of TEIs</w:t>
            </w:r>
          </w:p>
        </w:tc>
        <w:tc>
          <w:tcPr>
            <w:tcW w:w="2718" w:type="dxa"/>
            <w:shd w:val="clear" w:color="auto" w:fill="F2F2F2"/>
            <w:vAlign w:val="center"/>
          </w:tcPr>
          <w:p w:rsidR="006357C5" w:rsidRPr="00DC71B4" w:rsidRDefault="006357C5" w:rsidP="002554CF">
            <w:pPr>
              <w:pStyle w:val="ListParagraph"/>
              <w:keepNext/>
              <w:tabs>
                <w:tab w:val="left" w:pos="270"/>
              </w:tabs>
              <w:ind w:left="0"/>
              <w:contextualSpacing w:val="0"/>
              <w:jc w:val="center"/>
              <w:rPr>
                <w:b/>
                <w:bCs/>
                <w:sz w:val="20"/>
                <w:szCs w:val="20"/>
              </w:rPr>
            </w:pPr>
            <w:r w:rsidRPr="00DC71B4">
              <w:rPr>
                <w:b/>
                <w:bCs/>
                <w:sz w:val="20"/>
                <w:szCs w:val="20"/>
              </w:rPr>
              <w:t>Number of students enrolled</w:t>
            </w:r>
          </w:p>
        </w:tc>
      </w:tr>
      <w:tr w:rsidR="006357C5" w:rsidRPr="00DC71B4" w:rsidTr="002554CF">
        <w:tc>
          <w:tcPr>
            <w:tcW w:w="4698" w:type="dxa"/>
            <w:vAlign w:val="center"/>
          </w:tcPr>
          <w:p w:rsidR="006357C5" w:rsidRPr="00DC71B4" w:rsidRDefault="006357C5" w:rsidP="002554CF">
            <w:pPr>
              <w:pStyle w:val="ListParagraph"/>
              <w:keepNext/>
              <w:tabs>
                <w:tab w:val="left" w:pos="270"/>
              </w:tabs>
              <w:ind w:left="0"/>
              <w:contextualSpacing w:val="0"/>
              <w:jc w:val="center"/>
              <w:rPr>
                <w:sz w:val="20"/>
                <w:szCs w:val="20"/>
              </w:rPr>
            </w:pPr>
            <w:r w:rsidRPr="00DC71B4">
              <w:rPr>
                <w:sz w:val="20"/>
                <w:szCs w:val="20"/>
              </w:rPr>
              <w:t>Universities</w:t>
            </w:r>
          </w:p>
        </w:tc>
        <w:tc>
          <w:tcPr>
            <w:tcW w:w="2160" w:type="dxa"/>
            <w:vAlign w:val="center"/>
          </w:tcPr>
          <w:p w:rsidR="006357C5" w:rsidRPr="00DC71B4" w:rsidRDefault="006357C5" w:rsidP="002554CF">
            <w:pPr>
              <w:pStyle w:val="ListParagraph"/>
              <w:keepNext/>
              <w:tabs>
                <w:tab w:val="left" w:pos="270"/>
              </w:tabs>
              <w:ind w:left="0"/>
              <w:contextualSpacing w:val="0"/>
              <w:jc w:val="center"/>
              <w:rPr>
                <w:sz w:val="20"/>
                <w:szCs w:val="20"/>
              </w:rPr>
            </w:pPr>
            <w:r w:rsidRPr="00DC71B4">
              <w:rPr>
                <w:sz w:val="20"/>
                <w:szCs w:val="20"/>
              </w:rPr>
              <w:t>8</w:t>
            </w:r>
          </w:p>
        </w:tc>
        <w:tc>
          <w:tcPr>
            <w:tcW w:w="2718" w:type="dxa"/>
            <w:vAlign w:val="center"/>
          </w:tcPr>
          <w:p w:rsidR="006357C5" w:rsidRPr="00DC71B4" w:rsidRDefault="006357C5" w:rsidP="002554CF">
            <w:pPr>
              <w:pStyle w:val="ListParagraph"/>
              <w:keepNext/>
              <w:tabs>
                <w:tab w:val="left" w:pos="270"/>
              </w:tabs>
              <w:ind w:left="0"/>
              <w:contextualSpacing w:val="0"/>
              <w:jc w:val="center"/>
              <w:rPr>
                <w:sz w:val="20"/>
                <w:szCs w:val="20"/>
              </w:rPr>
            </w:pPr>
            <w:r w:rsidRPr="00DC71B4">
              <w:rPr>
                <w:sz w:val="20"/>
                <w:szCs w:val="20"/>
              </w:rPr>
              <w:t>93,592</w:t>
            </w:r>
          </w:p>
        </w:tc>
      </w:tr>
      <w:tr w:rsidR="006357C5" w:rsidRPr="00DC71B4" w:rsidTr="002554CF">
        <w:tc>
          <w:tcPr>
            <w:tcW w:w="4698" w:type="dxa"/>
            <w:vAlign w:val="center"/>
          </w:tcPr>
          <w:p w:rsidR="006357C5" w:rsidRPr="00DC71B4" w:rsidRDefault="006357C5" w:rsidP="002554CF">
            <w:pPr>
              <w:pStyle w:val="ListParagraph"/>
              <w:keepNext/>
              <w:tabs>
                <w:tab w:val="left" w:pos="270"/>
              </w:tabs>
              <w:ind w:left="0"/>
              <w:contextualSpacing w:val="0"/>
              <w:jc w:val="center"/>
              <w:rPr>
                <w:sz w:val="20"/>
                <w:szCs w:val="20"/>
              </w:rPr>
            </w:pPr>
            <w:r w:rsidRPr="00DC71B4">
              <w:rPr>
                <w:sz w:val="20"/>
                <w:szCs w:val="20"/>
              </w:rPr>
              <w:t>Institutes of Technology and Polytechnics (IEPs)</w:t>
            </w:r>
          </w:p>
        </w:tc>
        <w:tc>
          <w:tcPr>
            <w:tcW w:w="2160" w:type="dxa"/>
            <w:vAlign w:val="center"/>
          </w:tcPr>
          <w:p w:rsidR="006357C5" w:rsidRPr="00DC71B4" w:rsidRDefault="006357C5" w:rsidP="002554CF">
            <w:pPr>
              <w:pStyle w:val="ListParagraph"/>
              <w:keepNext/>
              <w:tabs>
                <w:tab w:val="left" w:pos="270"/>
              </w:tabs>
              <w:ind w:left="0"/>
              <w:contextualSpacing w:val="0"/>
              <w:jc w:val="center"/>
              <w:rPr>
                <w:sz w:val="20"/>
                <w:szCs w:val="20"/>
              </w:rPr>
            </w:pPr>
            <w:r w:rsidRPr="00DC71B4">
              <w:rPr>
                <w:sz w:val="20"/>
                <w:szCs w:val="20"/>
              </w:rPr>
              <w:t>20</w:t>
            </w:r>
          </w:p>
        </w:tc>
        <w:tc>
          <w:tcPr>
            <w:tcW w:w="2718" w:type="dxa"/>
            <w:vAlign w:val="center"/>
          </w:tcPr>
          <w:p w:rsidR="006357C5" w:rsidRPr="00DC71B4" w:rsidRDefault="006357C5" w:rsidP="002554CF">
            <w:pPr>
              <w:pStyle w:val="ListParagraph"/>
              <w:keepNext/>
              <w:tabs>
                <w:tab w:val="left" w:pos="270"/>
              </w:tabs>
              <w:ind w:left="0"/>
              <w:contextualSpacing w:val="0"/>
              <w:jc w:val="center"/>
              <w:rPr>
                <w:sz w:val="20"/>
                <w:szCs w:val="20"/>
              </w:rPr>
            </w:pPr>
            <w:r w:rsidRPr="00DC71B4">
              <w:rPr>
                <w:sz w:val="20"/>
                <w:szCs w:val="20"/>
              </w:rPr>
              <w:t>41,699</w:t>
            </w:r>
          </w:p>
        </w:tc>
      </w:tr>
      <w:tr w:rsidR="006357C5" w:rsidRPr="00DC71B4" w:rsidTr="002554CF">
        <w:tc>
          <w:tcPr>
            <w:tcW w:w="4698" w:type="dxa"/>
            <w:vAlign w:val="center"/>
          </w:tcPr>
          <w:p w:rsidR="006357C5" w:rsidRPr="00DC71B4" w:rsidRDefault="006357C5" w:rsidP="002554CF">
            <w:pPr>
              <w:pStyle w:val="ListParagraph"/>
              <w:keepNext/>
              <w:tabs>
                <w:tab w:val="left" w:pos="270"/>
              </w:tabs>
              <w:ind w:left="0"/>
              <w:contextualSpacing w:val="0"/>
              <w:jc w:val="center"/>
              <w:rPr>
                <w:sz w:val="20"/>
                <w:szCs w:val="20"/>
              </w:rPr>
            </w:pPr>
            <w:r w:rsidRPr="00DC71B4">
              <w:rPr>
                <w:sz w:val="20"/>
                <w:szCs w:val="20"/>
              </w:rPr>
              <w:t>Wānanga</w:t>
            </w:r>
          </w:p>
        </w:tc>
        <w:tc>
          <w:tcPr>
            <w:tcW w:w="2160" w:type="dxa"/>
            <w:vAlign w:val="center"/>
          </w:tcPr>
          <w:p w:rsidR="006357C5" w:rsidRPr="00DC71B4" w:rsidRDefault="006357C5" w:rsidP="002554CF">
            <w:pPr>
              <w:pStyle w:val="ListParagraph"/>
              <w:keepNext/>
              <w:tabs>
                <w:tab w:val="left" w:pos="270"/>
              </w:tabs>
              <w:ind w:left="0"/>
              <w:contextualSpacing w:val="0"/>
              <w:jc w:val="center"/>
              <w:rPr>
                <w:sz w:val="20"/>
                <w:szCs w:val="20"/>
              </w:rPr>
            </w:pPr>
            <w:r w:rsidRPr="00DC71B4">
              <w:rPr>
                <w:sz w:val="20"/>
                <w:szCs w:val="20"/>
              </w:rPr>
              <w:t>3</w:t>
            </w:r>
          </w:p>
        </w:tc>
        <w:tc>
          <w:tcPr>
            <w:tcW w:w="2718" w:type="dxa"/>
            <w:vAlign w:val="center"/>
          </w:tcPr>
          <w:p w:rsidR="006357C5" w:rsidRPr="00DC71B4" w:rsidRDefault="006357C5" w:rsidP="002554CF">
            <w:pPr>
              <w:pStyle w:val="ListParagraph"/>
              <w:keepNext/>
              <w:tabs>
                <w:tab w:val="left" w:pos="270"/>
              </w:tabs>
              <w:ind w:left="0"/>
              <w:contextualSpacing w:val="0"/>
              <w:jc w:val="center"/>
              <w:rPr>
                <w:sz w:val="20"/>
                <w:szCs w:val="20"/>
              </w:rPr>
            </w:pPr>
            <w:r w:rsidRPr="00DC71B4">
              <w:rPr>
                <w:sz w:val="20"/>
                <w:szCs w:val="20"/>
              </w:rPr>
              <w:t>16,186</w:t>
            </w:r>
          </w:p>
        </w:tc>
      </w:tr>
      <w:tr w:rsidR="006357C5" w:rsidRPr="00DC71B4" w:rsidTr="002554CF">
        <w:tc>
          <w:tcPr>
            <w:tcW w:w="4698" w:type="dxa"/>
            <w:vAlign w:val="center"/>
          </w:tcPr>
          <w:p w:rsidR="006357C5" w:rsidRPr="00DC71B4" w:rsidRDefault="006357C5" w:rsidP="002554CF">
            <w:pPr>
              <w:pStyle w:val="ListParagraph"/>
              <w:keepNext/>
              <w:tabs>
                <w:tab w:val="left" w:pos="270"/>
              </w:tabs>
              <w:ind w:left="0"/>
              <w:contextualSpacing w:val="0"/>
              <w:jc w:val="center"/>
              <w:rPr>
                <w:sz w:val="20"/>
                <w:szCs w:val="20"/>
              </w:rPr>
            </w:pPr>
            <w:r w:rsidRPr="00DC71B4">
              <w:rPr>
                <w:sz w:val="20"/>
                <w:szCs w:val="20"/>
              </w:rPr>
              <w:t>Private training establishments (PTE)†</w:t>
            </w:r>
          </w:p>
        </w:tc>
        <w:tc>
          <w:tcPr>
            <w:tcW w:w="2160" w:type="dxa"/>
            <w:vAlign w:val="center"/>
          </w:tcPr>
          <w:p w:rsidR="006357C5" w:rsidRPr="00DC71B4" w:rsidRDefault="006357C5" w:rsidP="002554CF">
            <w:pPr>
              <w:pStyle w:val="ListParagraph"/>
              <w:keepNext/>
              <w:tabs>
                <w:tab w:val="left" w:pos="270"/>
              </w:tabs>
              <w:ind w:left="0"/>
              <w:contextualSpacing w:val="0"/>
              <w:jc w:val="center"/>
              <w:rPr>
                <w:sz w:val="20"/>
                <w:szCs w:val="20"/>
                <w:lang w:val="es-ES"/>
              </w:rPr>
            </w:pPr>
            <w:r w:rsidRPr="00DC71B4">
              <w:rPr>
                <w:sz w:val="20"/>
                <w:szCs w:val="20"/>
              </w:rPr>
              <w:t>Accredited: 269; Not accredited: &gt;462</w:t>
            </w:r>
          </w:p>
        </w:tc>
        <w:tc>
          <w:tcPr>
            <w:tcW w:w="2718" w:type="dxa"/>
            <w:vAlign w:val="center"/>
          </w:tcPr>
          <w:p w:rsidR="006357C5" w:rsidRPr="00DC71B4" w:rsidRDefault="006357C5" w:rsidP="002554CF">
            <w:pPr>
              <w:pStyle w:val="ListParagraph"/>
              <w:keepNext/>
              <w:tabs>
                <w:tab w:val="left" w:pos="270"/>
              </w:tabs>
              <w:ind w:left="0"/>
              <w:contextualSpacing w:val="0"/>
              <w:jc w:val="center"/>
              <w:rPr>
                <w:sz w:val="20"/>
                <w:szCs w:val="20"/>
              </w:rPr>
            </w:pPr>
            <w:r w:rsidRPr="00DC71B4">
              <w:rPr>
                <w:sz w:val="20"/>
                <w:szCs w:val="20"/>
              </w:rPr>
              <w:t>20,613</w:t>
            </w:r>
          </w:p>
        </w:tc>
      </w:tr>
      <w:tr w:rsidR="006357C5" w:rsidRPr="00DC71B4" w:rsidTr="002554CF">
        <w:tc>
          <w:tcPr>
            <w:tcW w:w="4698" w:type="dxa"/>
            <w:vAlign w:val="center"/>
          </w:tcPr>
          <w:p w:rsidR="006357C5" w:rsidRPr="00DC71B4" w:rsidRDefault="006357C5" w:rsidP="002554CF">
            <w:pPr>
              <w:pStyle w:val="ListParagraph"/>
              <w:keepNext/>
              <w:tabs>
                <w:tab w:val="left" w:pos="270"/>
              </w:tabs>
              <w:ind w:left="0"/>
              <w:contextualSpacing w:val="0"/>
              <w:jc w:val="center"/>
              <w:rPr>
                <w:sz w:val="20"/>
              </w:rPr>
            </w:pPr>
            <w:r w:rsidRPr="00DC71B4">
              <w:rPr>
                <w:sz w:val="20"/>
              </w:rPr>
              <w:t>TOTAL</w:t>
            </w:r>
          </w:p>
        </w:tc>
        <w:tc>
          <w:tcPr>
            <w:tcW w:w="2160" w:type="dxa"/>
            <w:vAlign w:val="center"/>
          </w:tcPr>
          <w:p w:rsidR="006357C5" w:rsidRPr="00DC71B4" w:rsidRDefault="006357C5" w:rsidP="002554CF">
            <w:pPr>
              <w:pStyle w:val="ListParagraph"/>
              <w:keepNext/>
              <w:tabs>
                <w:tab w:val="left" w:pos="270"/>
              </w:tabs>
              <w:ind w:left="0"/>
              <w:contextualSpacing w:val="0"/>
              <w:jc w:val="center"/>
              <w:rPr>
                <w:sz w:val="20"/>
              </w:rPr>
            </w:pPr>
            <w:r w:rsidRPr="00DC71B4">
              <w:rPr>
                <w:sz w:val="20"/>
              </w:rPr>
              <w:t>&gt;731</w:t>
            </w:r>
          </w:p>
        </w:tc>
        <w:tc>
          <w:tcPr>
            <w:tcW w:w="2718" w:type="dxa"/>
            <w:vAlign w:val="center"/>
          </w:tcPr>
          <w:p w:rsidR="006357C5" w:rsidRPr="00DC71B4" w:rsidRDefault="006357C5" w:rsidP="002554CF">
            <w:pPr>
              <w:pStyle w:val="ListParagraph"/>
              <w:keepNext/>
              <w:tabs>
                <w:tab w:val="left" w:pos="270"/>
              </w:tabs>
              <w:ind w:left="0"/>
              <w:contextualSpacing w:val="0"/>
              <w:jc w:val="center"/>
              <w:rPr>
                <w:sz w:val="20"/>
              </w:rPr>
            </w:pPr>
            <w:r w:rsidRPr="00DC71B4">
              <w:rPr>
                <w:sz w:val="20"/>
              </w:rPr>
              <w:t>172,090</w:t>
            </w:r>
          </w:p>
        </w:tc>
      </w:tr>
    </w:tbl>
    <w:p w:rsidR="006357C5" w:rsidRPr="00F71402" w:rsidRDefault="006357C5" w:rsidP="006357C5">
      <w:pPr>
        <w:keepNext/>
        <w:ind w:left="-180"/>
        <w:jc w:val="both"/>
        <w:rPr>
          <w:sz w:val="18"/>
          <w:szCs w:val="18"/>
        </w:rPr>
      </w:pPr>
      <w:r w:rsidRPr="009F5024">
        <w:rPr>
          <w:sz w:val="18"/>
          <w:u w:val="single"/>
        </w:rPr>
        <w:t>Source:</w:t>
      </w:r>
      <w:r w:rsidRPr="00575059">
        <w:rPr>
          <w:sz w:val="18"/>
          <w:szCs w:val="18"/>
        </w:rPr>
        <w:t xml:space="preserve"> Ministry of Education of New Zealand† Most PTEs are very small vocational programs, including registered private English language schools.</w:t>
      </w:r>
    </w:p>
    <w:p w:rsidR="006357C5" w:rsidRPr="00DF0CD6" w:rsidRDefault="006357C5" w:rsidP="006357C5">
      <w:pPr>
        <w:jc w:val="both"/>
        <w:rPr>
          <w:sz w:val="20"/>
          <w:szCs w:val="20"/>
        </w:rPr>
      </w:pPr>
    </w:p>
    <w:p w:rsidR="006357C5" w:rsidRPr="00DF0CD6" w:rsidRDefault="006357C5" w:rsidP="006357C5">
      <w:pPr>
        <w:pStyle w:val="ListParagraph"/>
        <w:tabs>
          <w:tab w:val="left" w:pos="270"/>
        </w:tabs>
        <w:ind w:left="0"/>
        <w:contextualSpacing w:val="0"/>
        <w:jc w:val="both"/>
      </w:pPr>
      <w:r w:rsidRPr="00DF0CD6">
        <w:t>In the last two decades, New Zealand’s transformation into a liberalized market economy has spurred parallel changes in the country’s tertiary education sector. The late 1980s saw an elite university system progressively evolve into a mass tertiary system that sought to broaden participation, choice and competition (Goedegebuure et al. 2008). This was the background for the introduction of two twin reforms: university fees and income-contingent student loans. More recently, New Zealand has begun to move away from market-based principles in order to prioritize access and equity in education. This initiative partly explains the increase in subsidies and the current forgiveness of interest on most loans, which has resulted in a substantial growth in borrowing over time. These trends are explained in the Tertiary Education Strategy (TES), a framework established by the Education Act of 1989 to guide tertiary education toward the Government’s national economic, social and environmental goals (Salmi and Hauptman 2006). Today, about 77% of full-time students in New Zealand are enrolled in regular tertiary education programs. Of these, 97% are enrolled in public institutions, 2% in government-dependent private institutions and 1% in independent private institutions (OECD 2011).</w:t>
      </w:r>
    </w:p>
    <w:p w:rsidR="006357C5" w:rsidRPr="00DF0CD6" w:rsidRDefault="006357C5" w:rsidP="006357C5">
      <w:pPr>
        <w:pStyle w:val="ListParagraph"/>
        <w:tabs>
          <w:tab w:val="left" w:pos="270"/>
        </w:tabs>
        <w:ind w:left="0"/>
        <w:contextualSpacing w:val="0"/>
        <w:jc w:val="both"/>
      </w:pPr>
    </w:p>
    <w:p w:rsidR="006357C5" w:rsidRPr="00DF0CD6" w:rsidRDefault="006357C5" w:rsidP="006357C5">
      <w:pPr>
        <w:pStyle w:val="ListParagraph"/>
        <w:tabs>
          <w:tab w:val="left" w:pos="270"/>
        </w:tabs>
        <w:ind w:left="0"/>
        <w:contextualSpacing w:val="0"/>
        <w:jc w:val="both"/>
      </w:pPr>
      <w:r w:rsidRPr="00DF0CD6">
        <w:t xml:space="preserve">An important element of TES is the provision of guidelines for public funding of tertiary education. In New Zealand, tertiary education is financed through a cost-sharing arrangement between the Government and the students. Most institutions, whether public or private, charge tuition fees, which have increased steadily over the last two decades. Currently, annual average tuition fees for full-time students vary from US$3,019 for public institutions to US$4,159 for government-dependent private institutions (OECD 2011). The Government initially responded to this trend with a fee-freeze policy in 2001, 2002 and 2003, which was replaced in 2010 with a system of maximum tuition fee rates that vary across subject areas (BIS 2010). In 2011, the Annual Maximum Fee Movement (AMFM) policy replaced the 2010 Fee/Course Costs Maxima policy, setting limits on fees that tertiary education institutions could charge students. The new AMFM policy, which sets limits on fees that TEIs can charge students, sought </w:t>
      </w:r>
      <w:r w:rsidRPr="00DF0CD6">
        <w:rPr>
          <w:lang w:val="en-NZ"/>
        </w:rPr>
        <w:t>to promote affordability of study and a level of certainty about fees required to obtain qualification, while allowing TEIs some flexibility in fee-setting</w:t>
      </w:r>
      <w:r w:rsidRPr="00DF0CD6">
        <w:t xml:space="preserve">. AMFM effectively eliminates maximum fee limits, but places a limit on annual increases of tuition fees. According to this new policy, any increase to fee or course costs may not exceed four percent per year, except for courses with fees under </w:t>
      </w:r>
      <w:r w:rsidRPr="00DF0CD6">
        <w:lastRenderedPageBreak/>
        <w:t>NZD$445 per full-time student.</w:t>
      </w:r>
      <w:r w:rsidRPr="00DF0CD6">
        <w:rPr>
          <w:rStyle w:val="FootnoteReference"/>
          <w:rFonts w:cs="Arial"/>
        </w:rPr>
        <w:footnoteReference w:id="11"/>
      </w:r>
      <w:r w:rsidRPr="00DF0CD6">
        <w:t xml:space="preserve"> Where different fees are charged for the same course at different TEIs, the highest course fee will be considered the benchmark fee. It is the responsibility of TEIs to set fees for new courses, although these fees should be around or below the middle of the fee range for comparable courses. The AMFM policy, however, does not apply to TEIs that do not receive Student Achievement Component (SAC) Government funds, unless the course is funded under section 321 of the Education Act.</w:t>
      </w:r>
      <w:r w:rsidRPr="00DF0CD6">
        <w:rPr>
          <w:rStyle w:val="FootnoteReference"/>
          <w:rFonts w:cs="Arial"/>
        </w:rPr>
        <w:footnoteReference w:id="12"/>
      </w:r>
      <w:r w:rsidRPr="00DF0CD6">
        <w:t xml:space="preserve"> The SAC is described in detail in the following section.</w:t>
      </w:r>
    </w:p>
    <w:p w:rsidR="006357C5" w:rsidRDefault="006357C5" w:rsidP="006357C5">
      <w:pPr>
        <w:pStyle w:val="ListParagraph"/>
        <w:tabs>
          <w:tab w:val="left" w:pos="270"/>
        </w:tabs>
        <w:ind w:left="0"/>
        <w:contextualSpacing w:val="0"/>
        <w:jc w:val="both"/>
      </w:pPr>
    </w:p>
    <w:p w:rsidR="006357C5" w:rsidRDefault="006357C5" w:rsidP="006357C5">
      <w:pPr>
        <w:pStyle w:val="ListParagraph"/>
        <w:tabs>
          <w:tab w:val="left" w:pos="270"/>
        </w:tabs>
        <w:ind w:left="0"/>
        <w:contextualSpacing w:val="0"/>
        <w:jc w:val="both"/>
      </w:pPr>
      <w:r w:rsidRPr="00DF0CD6">
        <w:t xml:space="preserve">Although New Zealand can be classified as a country with high levels of tuition fees, it also boasts a well-developed student-support system. The proportion of public financial aid to students in total public expenditure on tertiary education is 41.6%, higher than the OECD average (19.4%) (OECD 2011). Currently, three main policies enable the Government to provide financial support to students. These are the Student Allowances program, the Student Loan Scheme and various smaller aid programs for specific purposes. Government funding also accounts for 48% of the direct revenue of TEIs, distributed among teaching, research and targeted funding (Goedegebuure et al. 2008). In New Zealand, the total expenditure on tertiary educational institutions is 1.6% of GDP, where about 1.1% accounts for expenditure from public sources and about 0.5% from private sources (OECD 2011). </w:t>
      </w:r>
    </w:p>
    <w:p w:rsidR="006357C5" w:rsidRDefault="006357C5" w:rsidP="006357C5">
      <w:pPr>
        <w:pStyle w:val="ListParagraph"/>
        <w:tabs>
          <w:tab w:val="left" w:pos="270"/>
        </w:tabs>
        <w:ind w:left="0"/>
        <w:contextualSpacing w:val="0"/>
        <w:jc w:val="both"/>
      </w:pPr>
    </w:p>
    <w:p w:rsidR="006357C5" w:rsidRDefault="006357C5" w:rsidP="006357C5">
      <w:pPr>
        <w:pStyle w:val="ListParagraph"/>
        <w:tabs>
          <w:tab w:val="left" w:pos="270"/>
        </w:tabs>
        <w:ind w:left="0"/>
        <w:contextualSpacing w:val="0"/>
        <w:jc w:val="both"/>
      </w:pPr>
      <w:r w:rsidRPr="00DF0CD6">
        <w:t xml:space="preserve">Several Government entities play key roles in tertiary education funding initiatives. The Ministry of Education is responsible for the development of policies to support participation in tertiary education. Within the Ministry of Education, the Tertiary Education Commission (TEC) manages the Government’s almost NZD$5 billion annual funds allocated to this sector. The Ministry of Social Development administers StudyLink, a service used to approve applications for student allowances and student loans. Other key agencies include the New Zealand Qualifications Authority; the Foundation for Research, Science and Technology; the Ministry of Economic Development; the Department of Labor, and the Ministry of Social Development. </w:t>
      </w:r>
    </w:p>
    <w:p w:rsidR="006357C5" w:rsidRDefault="006357C5" w:rsidP="006357C5">
      <w:pPr>
        <w:pStyle w:val="ListParagraph"/>
        <w:tabs>
          <w:tab w:val="left" w:pos="270"/>
        </w:tabs>
        <w:ind w:left="0"/>
        <w:contextualSpacing w:val="0"/>
        <w:jc w:val="both"/>
      </w:pPr>
    </w:p>
    <w:p w:rsidR="006357C5" w:rsidRPr="00801949" w:rsidRDefault="006357C5" w:rsidP="006357C5">
      <w:pPr>
        <w:rPr>
          <w:b/>
        </w:rPr>
      </w:pPr>
      <w:r w:rsidRPr="00801949">
        <w:rPr>
          <w:b/>
        </w:rPr>
        <w:t>B) Allocation of Costs Between Private and Public Actors</w:t>
      </w:r>
    </w:p>
    <w:p w:rsidR="006357C5" w:rsidRDefault="006357C5" w:rsidP="006357C5">
      <w:pPr>
        <w:pStyle w:val="ListParagraph"/>
        <w:tabs>
          <w:tab w:val="left" w:pos="270"/>
        </w:tabs>
        <w:ind w:left="0"/>
        <w:contextualSpacing w:val="0"/>
        <w:jc w:val="both"/>
        <w:rPr>
          <w:b/>
        </w:rPr>
      </w:pPr>
    </w:p>
    <w:p w:rsidR="006357C5" w:rsidRDefault="006357C5" w:rsidP="006357C5">
      <w:pPr>
        <w:pStyle w:val="ListParagraph"/>
        <w:tabs>
          <w:tab w:val="left" w:pos="270"/>
        </w:tabs>
        <w:ind w:left="0"/>
        <w:contextualSpacing w:val="0"/>
        <w:jc w:val="both"/>
      </w:pPr>
      <w:r w:rsidRPr="00DF0CD6">
        <w:t xml:space="preserve">Private financial contributions to New Zealand’s tertiary education system mainly reflect students’ payment of tuition fees. Much of the student share, however, is met through borrowing funds from the Government, which effectively raises the Government’s share to about 84% (2008) (New Zealand Ministry of Education 2011b). Public expenditure on the tertiary education system is divided into four main areas: 1) NZD$2,413 million (45% of the total expenditure) for </w:t>
      </w:r>
      <w:r w:rsidRPr="00DF0CD6">
        <w:lastRenderedPageBreak/>
        <w:t>tuition subsidies to fund student places at TEIs,</w:t>
      </w:r>
      <w:r w:rsidRPr="00DF0CD6">
        <w:rPr>
          <w:rStyle w:val="FootnoteReference"/>
          <w:rFonts w:cs="Arial"/>
        </w:rPr>
        <w:footnoteReference w:id="13"/>
      </w:r>
      <w:r w:rsidRPr="00DF0CD6">
        <w:t xml:space="preserve"> 2) NZD$1,543 million (29%) for student loans (paid directly to TEIs), 3) NZD$589 million (11%) for student allowances, and 4) NZD$374 million (7%) for other programs, including industry training (New Zealand Ministry of Education 2011a).</w:t>
      </w:r>
      <w:r w:rsidRPr="00DF0CD6">
        <w:rPr>
          <w:rStyle w:val="FootnoteReference"/>
          <w:rFonts w:cs="Arial"/>
        </w:rPr>
        <w:footnoteReference w:id="14"/>
      </w:r>
      <w:r w:rsidRPr="00DF0CD6">
        <w:t xml:space="preserve"> </w:t>
      </w:r>
    </w:p>
    <w:p w:rsidR="006357C5" w:rsidRDefault="006357C5" w:rsidP="006357C5">
      <w:pPr>
        <w:pStyle w:val="ListParagraph"/>
        <w:tabs>
          <w:tab w:val="left" w:pos="270"/>
        </w:tabs>
        <w:ind w:left="0"/>
        <w:contextualSpacing w:val="0"/>
        <w:jc w:val="both"/>
      </w:pPr>
    </w:p>
    <w:p w:rsidR="006357C5" w:rsidRDefault="006357C5" w:rsidP="006357C5">
      <w:pPr>
        <w:pStyle w:val="TableHeading"/>
      </w:pPr>
      <w:bookmarkStart w:id="78" w:name="_Toc328382221"/>
      <w:bookmarkStart w:id="79" w:name="_Toc328742905"/>
      <w:r w:rsidRPr="00DF0CD6">
        <w:t xml:space="preserve">Table </w:t>
      </w:r>
      <w:r>
        <w:t>59</w:t>
      </w:r>
      <w:r w:rsidRPr="00DF0CD6">
        <w:t>: Major Items in Government Tertiary Education Expenditure (2009-2010)</w:t>
      </w:r>
      <w:bookmarkEnd w:id="78"/>
      <w:bookmarkEnd w:id="79"/>
    </w:p>
    <w:p w:rsidR="006357C5" w:rsidRDefault="006357C5" w:rsidP="006357C5">
      <w:pPr>
        <w:pStyle w:val="TableHeading"/>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3192"/>
        <w:gridCol w:w="3192"/>
        <w:gridCol w:w="3192"/>
      </w:tblGrid>
      <w:tr w:rsidR="006357C5" w:rsidRPr="00DC71B4" w:rsidTr="002554CF">
        <w:tc>
          <w:tcPr>
            <w:tcW w:w="3192" w:type="dxa"/>
            <w:shd w:val="clear" w:color="auto" w:fill="F2F2F2"/>
            <w:vAlign w:val="center"/>
          </w:tcPr>
          <w:p w:rsidR="006357C5" w:rsidRPr="00DC71B4" w:rsidRDefault="006357C5" w:rsidP="002554CF">
            <w:pPr>
              <w:pStyle w:val="ListParagraph"/>
              <w:tabs>
                <w:tab w:val="left" w:pos="270"/>
              </w:tabs>
              <w:ind w:left="0"/>
              <w:contextualSpacing w:val="0"/>
              <w:jc w:val="center"/>
              <w:rPr>
                <w:b/>
                <w:bCs/>
                <w:sz w:val="20"/>
                <w:szCs w:val="20"/>
              </w:rPr>
            </w:pPr>
            <w:r w:rsidRPr="00DC71B4">
              <w:rPr>
                <w:b/>
                <w:bCs/>
                <w:sz w:val="20"/>
                <w:szCs w:val="20"/>
              </w:rPr>
              <w:t>Expenditure area</w:t>
            </w:r>
          </w:p>
        </w:tc>
        <w:tc>
          <w:tcPr>
            <w:tcW w:w="3192" w:type="dxa"/>
            <w:shd w:val="clear" w:color="auto" w:fill="F2F2F2"/>
            <w:vAlign w:val="center"/>
          </w:tcPr>
          <w:p w:rsidR="006357C5" w:rsidRPr="00DC71B4" w:rsidRDefault="006357C5" w:rsidP="002554CF">
            <w:pPr>
              <w:pStyle w:val="ListParagraph"/>
              <w:tabs>
                <w:tab w:val="left" w:pos="270"/>
              </w:tabs>
              <w:ind w:left="0"/>
              <w:contextualSpacing w:val="0"/>
              <w:jc w:val="center"/>
              <w:rPr>
                <w:b/>
                <w:bCs/>
                <w:sz w:val="20"/>
                <w:szCs w:val="20"/>
              </w:rPr>
            </w:pPr>
            <w:r w:rsidRPr="00DC71B4">
              <w:rPr>
                <w:b/>
                <w:bCs/>
                <w:sz w:val="20"/>
                <w:szCs w:val="20"/>
              </w:rPr>
              <w:t>Amount spent (NZD $)</w:t>
            </w:r>
          </w:p>
        </w:tc>
        <w:tc>
          <w:tcPr>
            <w:tcW w:w="3192" w:type="dxa"/>
            <w:shd w:val="clear" w:color="auto" w:fill="F2F2F2"/>
            <w:vAlign w:val="center"/>
          </w:tcPr>
          <w:p w:rsidR="006357C5" w:rsidRPr="00DC71B4" w:rsidRDefault="006357C5" w:rsidP="002554CF">
            <w:pPr>
              <w:pStyle w:val="ListParagraph"/>
              <w:tabs>
                <w:tab w:val="left" w:pos="270"/>
              </w:tabs>
              <w:ind w:left="0"/>
              <w:contextualSpacing w:val="0"/>
              <w:jc w:val="center"/>
              <w:rPr>
                <w:b/>
                <w:bCs/>
                <w:sz w:val="20"/>
                <w:szCs w:val="20"/>
              </w:rPr>
            </w:pPr>
            <w:r w:rsidRPr="00DC71B4">
              <w:rPr>
                <w:b/>
                <w:bCs/>
                <w:sz w:val="20"/>
                <w:szCs w:val="20"/>
              </w:rPr>
              <w:t>% of total expenditure</w:t>
            </w:r>
          </w:p>
        </w:tc>
      </w:tr>
      <w:tr w:rsidR="006357C5" w:rsidRPr="00DC71B4" w:rsidTr="002554CF">
        <w:tc>
          <w:tcPr>
            <w:tcW w:w="3192" w:type="dxa"/>
            <w:vAlign w:val="center"/>
          </w:tcPr>
          <w:p w:rsidR="006357C5" w:rsidRPr="00DC71B4" w:rsidRDefault="006357C5" w:rsidP="002554CF">
            <w:pPr>
              <w:pStyle w:val="ListParagraph"/>
              <w:tabs>
                <w:tab w:val="left" w:pos="270"/>
              </w:tabs>
              <w:ind w:left="0"/>
              <w:contextualSpacing w:val="0"/>
              <w:jc w:val="center"/>
              <w:rPr>
                <w:b/>
                <w:bCs/>
                <w:sz w:val="20"/>
                <w:szCs w:val="20"/>
              </w:rPr>
            </w:pPr>
            <w:r w:rsidRPr="00DC71B4">
              <w:rPr>
                <w:bCs/>
                <w:sz w:val="20"/>
                <w:szCs w:val="20"/>
              </w:rPr>
              <w:t>Tuition subsidies</w:t>
            </w:r>
          </w:p>
        </w:tc>
        <w:tc>
          <w:tcPr>
            <w:tcW w:w="3192" w:type="dxa"/>
            <w:vAlign w:val="center"/>
          </w:tcPr>
          <w:p w:rsidR="006357C5" w:rsidRPr="00DC71B4" w:rsidRDefault="006357C5" w:rsidP="002554CF">
            <w:pPr>
              <w:pStyle w:val="ListParagraph"/>
              <w:tabs>
                <w:tab w:val="left" w:pos="270"/>
              </w:tabs>
              <w:ind w:left="0"/>
              <w:contextualSpacing w:val="0"/>
              <w:jc w:val="center"/>
              <w:rPr>
                <w:sz w:val="20"/>
                <w:szCs w:val="20"/>
              </w:rPr>
            </w:pPr>
            <w:r w:rsidRPr="00DC71B4">
              <w:rPr>
                <w:sz w:val="20"/>
                <w:szCs w:val="20"/>
              </w:rPr>
              <w:t>2,413 million</w:t>
            </w:r>
          </w:p>
        </w:tc>
        <w:tc>
          <w:tcPr>
            <w:tcW w:w="3192" w:type="dxa"/>
            <w:vAlign w:val="center"/>
          </w:tcPr>
          <w:p w:rsidR="006357C5" w:rsidRPr="00DC71B4" w:rsidRDefault="006357C5" w:rsidP="002554CF">
            <w:pPr>
              <w:pStyle w:val="ListParagraph"/>
              <w:tabs>
                <w:tab w:val="left" w:pos="270"/>
              </w:tabs>
              <w:ind w:left="0"/>
              <w:contextualSpacing w:val="0"/>
              <w:jc w:val="center"/>
              <w:rPr>
                <w:sz w:val="20"/>
                <w:szCs w:val="20"/>
              </w:rPr>
            </w:pPr>
            <w:r w:rsidRPr="00DC71B4">
              <w:rPr>
                <w:sz w:val="20"/>
                <w:szCs w:val="20"/>
              </w:rPr>
              <w:t>45</w:t>
            </w:r>
          </w:p>
        </w:tc>
      </w:tr>
      <w:tr w:rsidR="006357C5" w:rsidRPr="00DC71B4" w:rsidTr="002554CF">
        <w:trPr>
          <w:trHeight w:val="295"/>
        </w:trPr>
        <w:tc>
          <w:tcPr>
            <w:tcW w:w="3192" w:type="dxa"/>
            <w:vAlign w:val="center"/>
          </w:tcPr>
          <w:p w:rsidR="006357C5" w:rsidRPr="00DC71B4" w:rsidRDefault="006357C5" w:rsidP="002554CF">
            <w:pPr>
              <w:pStyle w:val="ListParagraph"/>
              <w:tabs>
                <w:tab w:val="left" w:pos="270"/>
              </w:tabs>
              <w:ind w:left="0"/>
              <w:contextualSpacing w:val="0"/>
              <w:jc w:val="center"/>
              <w:rPr>
                <w:b/>
                <w:bCs/>
                <w:sz w:val="20"/>
                <w:szCs w:val="20"/>
              </w:rPr>
            </w:pPr>
            <w:r w:rsidRPr="00DC71B4">
              <w:rPr>
                <w:bCs/>
                <w:sz w:val="20"/>
                <w:szCs w:val="20"/>
              </w:rPr>
              <w:t>Student loans</w:t>
            </w:r>
          </w:p>
        </w:tc>
        <w:tc>
          <w:tcPr>
            <w:tcW w:w="3192" w:type="dxa"/>
            <w:vAlign w:val="center"/>
          </w:tcPr>
          <w:p w:rsidR="006357C5" w:rsidRPr="00DC71B4" w:rsidRDefault="006357C5" w:rsidP="002554CF">
            <w:pPr>
              <w:pStyle w:val="ListParagraph"/>
              <w:tabs>
                <w:tab w:val="left" w:pos="270"/>
              </w:tabs>
              <w:spacing w:line="240" w:lineRule="auto"/>
              <w:ind w:left="0"/>
              <w:contextualSpacing w:val="0"/>
              <w:jc w:val="center"/>
              <w:rPr>
                <w:sz w:val="20"/>
                <w:szCs w:val="20"/>
              </w:rPr>
            </w:pPr>
            <w:r w:rsidRPr="00DC71B4">
              <w:rPr>
                <w:sz w:val="20"/>
                <w:szCs w:val="20"/>
              </w:rPr>
              <w:t>1,543 million</w:t>
            </w:r>
          </w:p>
        </w:tc>
        <w:tc>
          <w:tcPr>
            <w:tcW w:w="3192" w:type="dxa"/>
            <w:vAlign w:val="center"/>
          </w:tcPr>
          <w:p w:rsidR="006357C5" w:rsidRPr="00DC71B4" w:rsidRDefault="006357C5" w:rsidP="002554CF">
            <w:pPr>
              <w:pStyle w:val="ListParagraph"/>
              <w:tabs>
                <w:tab w:val="left" w:pos="270"/>
              </w:tabs>
              <w:ind w:left="0"/>
              <w:contextualSpacing w:val="0"/>
              <w:jc w:val="center"/>
              <w:rPr>
                <w:sz w:val="20"/>
                <w:szCs w:val="20"/>
              </w:rPr>
            </w:pPr>
            <w:r w:rsidRPr="00DC71B4">
              <w:rPr>
                <w:sz w:val="20"/>
                <w:szCs w:val="20"/>
              </w:rPr>
              <w:t>29</w:t>
            </w:r>
          </w:p>
        </w:tc>
      </w:tr>
      <w:tr w:rsidR="006357C5" w:rsidRPr="00DC71B4" w:rsidTr="002554CF">
        <w:tc>
          <w:tcPr>
            <w:tcW w:w="3192" w:type="dxa"/>
            <w:vAlign w:val="center"/>
          </w:tcPr>
          <w:p w:rsidR="006357C5" w:rsidRPr="00DC71B4" w:rsidRDefault="006357C5" w:rsidP="002554CF">
            <w:pPr>
              <w:pStyle w:val="ListParagraph"/>
              <w:tabs>
                <w:tab w:val="left" w:pos="270"/>
              </w:tabs>
              <w:ind w:left="0"/>
              <w:contextualSpacing w:val="0"/>
              <w:jc w:val="center"/>
              <w:rPr>
                <w:b/>
                <w:bCs/>
                <w:sz w:val="20"/>
                <w:szCs w:val="20"/>
              </w:rPr>
            </w:pPr>
            <w:r w:rsidRPr="00DC71B4">
              <w:rPr>
                <w:bCs/>
                <w:sz w:val="20"/>
                <w:szCs w:val="20"/>
              </w:rPr>
              <w:t>Student allowances</w:t>
            </w:r>
          </w:p>
        </w:tc>
        <w:tc>
          <w:tcPr>
            <w:tcW w:w="3192" w:type="dxa"/>
            <w:vAlign w:val="center"/>
          </w:tcPr>
          <w:p w:rsidR="006357C5" w:rsidRPr="00DC71B4" w:rsidRDefault="006357C5" w:rsidP="002554CF">
            <w:pPr>
              <w:pStyle w:val="ListParagraph"/>
              <w:tabs>
                <w:tab w:val="left" w:pos="270"/>
              </w:tabs>
              <w:ind w:left="0"/>
              <w:contextualSpacing w:val="0"/>
              <w:jc w:val="center"/>
              <w:rPr>
                <w:sz w:val="20"/>
                <w:szCs w:val="20"/>
              </w:rPr>
            </w:pPr>
            <w:r w:rsidRPr="00DC71B4">
              <w:rPr>
                <w:sz w:val="20"/>
                <w:szCs w:val="20"/>
              </w:rPr>
              <w:t>589 million</w:t>
            </w:r>
          </w:p>
        </w:tc>
        <w:tc>
          <w:tcPr>
            <w:tcW w:w="3192" w:type="dxa"/>
            <w:vAlign w:val="center"/>
          </w:tcPr>
          <w:p w:rsidR="006357C5" w:rsidRPr="00DC71B4" w:rsidRDefault="006357C5" w:rsidP="002554CF">
            <w:pPr>
              <w:pStyle w:val="ListParagraph"/>
              <w:tabs>
                <w:tab w:val="left" w:pos="270"/>
              </w:tabs>
              <w:ind w:left="0"/>
              <w:contextualSpacing w:val="0"/>
              <w:jc w:val="center"/>
              <w:rPr>
                <w:sz w:val="20"/>
                <w:szCs w:val="20"/>
              </w:rPr>
            </w:pPr>
            <w:r w:rsidRPr="00DC71B4">
              <w:rPr>
                <w:sz w:val="20"/>
                <w:szCs w:val="20"/>
              </w:rPr>
              <w:t>11</w:t>
            </w:r>
          </w:p>
        </w:tc>
      </w:tr>
      <w:tr w:rsidR="006357C5" w:rsidRPr="00DC71B4" w:rsidTr="002554CF">
        <w:tc>
          <w:tcPr>
            <w:tcW w:w="3192" w:type="dxa"/>
            <w:vAlign w:val="center"/>
          </w:tcPr>
          <w:p w:rsidR="006357C5" w:rsidRPr="00DC71B4" w:rsidRDefault="006357C5" w:rsidP="002554CF">
            <w:pPr>
              <w:pStyle w:val="ListParagraph"/>
              <w:tabs>
                <w:tab w:val="left" w:pos="270"/>
              </w:tabs>
              <w:ind w:left="0"/>
              <w:contextualSpacing w:val="0"/>
              <w:jc w:val="center"/>
              <w:rPr>
                <w:b/>
                <w:bCs/>
                <w:sz w:val="20"/>
                <w:szCs w:val="20"/>
              </w:rPr>
            </w:pPr>
            <w:r w:rsidRPr="00DC71B4">
              <w:rPr>
                <w:bCs/>
                <w:sz w:val="20"/>
                <w:szCs w:val="20"/>
              </w:rPr>
              <w:t>Other programs</w:t>
            </w:r>
          </w:p>
        </w:tc>
        <w:tc>
          <w:tcPr>
            <w:tcW w:w="3192" w:type="dxa"/>
            <w:vAlign w:val="center"/>
          </w:tcPr>
          <w:p w:rsidR="006357C5" w:rsidRPr="00DC71B4" w:rsidRDefault="006357C5" w:rsidP="002554CF">
            <w:pPr>
              <w:pStyle w:val="ListParagraph"/>
              <w:tabs>
                <w:tab w:val="left" w:pos="270"/>
              </w:tabs>
              <w:ind w:left="0"/>
              <w:contextualSpacing w:val="0"/>
              <w:jc w:val="center"/>
              <w:rPr>
                <w:sz w:val="20"/>
                <w:szCs w:val="20"/>
              </w:rPr>
            </w:pPr>
            <w:r w:rsidRPr="00DC71B4">
              <w:rPr>
                <w:sz w:val="20"/>
                <w:szCs w:val="20"/>
              </w:rPr>
              <w:t>374 million</w:t>
            </w:r>
          </w:p>
        </w:tc>
        <w:tc>
          <w:tcPr>
            <w:tcW w:w="3192" w:type="dxa"/>
            <w:vAlign w:val="center"/>
          </w:tcPr>
          <w:p w:rsidR="006357C5" w:rsidRPr="00DC71B4" w:rsidRDefault="006357C5" w:rsidP="002554CF">
            <w:pPr>
              <w:pStyle w:val="ListParagraph"/>
              <w:tabs>
                <w:tab w:val="left" w:pos="270"/>
              </w:tabs>
              <w:ind w:left="0"/>
              <w:contextualSpacing w:val="0"/>
              <w:jc w:val="center"/>
              <w:rPr>
                <w:sz w:val="20"/>
                <w:szCs w:val="20"/>
              </w:rPr>
            </w:pPr>
            <w:r w:rsidRPr="00DC71B4">
              <w:rPr>
                <w:sz w:val="20"/>
                <w:szCs w:val="20"/>
              </w:rPr>
              <w:t>7</w:t>
            </w:r>
          </w:p>
        </w:tc>
      </w:tr>
      <w:tr w:rsidR="006357C5" w:rsidRPr="00DC71B4" w:rsidTr="002554CF">
        <w:tc>
          <w:tcPr>
            <w:tcW w:w="3192" w:type="dxa"/>
            <w:vAlign w:val="center"/>
          </w:tcPr>
          <w:p w:rsidR="006357C5" w:rsidRPr="00DC71B4" w:rsidRDefault="006357C5" w:rsidP="002554CF">
            <w:pPr>
              <w:pStyle w:val="ListParagraph"/>
              <w:tabs>
                <w:tab w:val="left" w:pos="270"/>
              </w:tabs>
              <w:ind w:left="0"/>
              <w:contextualSpacing w:val="0"/>
              <w:jc w:val="center"/>
              <w:rPr>
                <w:b/>
                <w:bCs/>
                <w:sz w:val="20"/>
                <w:szCs w:val="20"/>
              </w:rPr>
            </w:pPr>
            <w:r w:rsidRPr="00DC71B4">
              <w:rPr>
                <w:bCs/>
                <w:sz w:val="20"/>
                <w:szCs w:val="20"/>
              </w:rPr>
              <w:t>TOTAL</w:t>
            </w:r>
          </w:p>
        </w:tc>
        <w:tc>
          <w:tcPr>
            <w:tcW w:w="3192" w:type="dxa"/>
            <w:vAlign w:val="center"/>
          </w:tcPr>
          <w:p w:rsidR="006357C5" w:rsidRPr="00DC71B4" w:rsidRDefault="006357C5" w:rsidP="002554CF">
            <w:pPr>
              <w:pStyle w:val="ListParagraph"/>
              <w:tabs>
                <w:tab w:val="left" w:pos="270"/>
              </w:tabs>
              <w:ind w:left="0"/>
              <w:contextualSpacing w:val="0"/>
              <w:jc w:val="center"/>
              <w:rPr>
                <w:sz w:val="20"/>
                <w:szCs w:val="20"/>
              </w:rPr>
            </w:pPr>
            <w:r w:rsidRPr="00DC71B4">
              <w:rPr>
                <w:sz w:val="20"/>
                <w:szCs w:val="20"/>
              </w:rPr>
              <w:t>4,919 million</w:t>
            </w:r>
          </w:p>
        </w:tc>
        <w:tc>
          <w:tcPr>
            <w:tcW w:w="3192" w:type="dxa"/>
            <w:vAlign w:val="center"/>
          </w:tcPr>
          <w:p w:rsidR="006357C5" w:rsidRPr="00DC71B4" w:rsidRDefault="006357C5" w:rsidP="002554CF">
            <w:pPr>
              <w:pStyle w:val="ListParagraph"/>
              <w:tabs>
                <w:tab w:val="left" w:pos="270"/>
              </w:tabs>
              <w:ind w:left="0"/>
              <w:contextualSpacing w:val="0"/>
              <w:jc w:val="center"/>
              <w:rPr>
                <w:sz w:val="20"/>
                <w:szCs w:val="20"/>
              </w:rPr>
            </w:pPr>
            <w:r w:rsidRPr="00DC71B4">
              <w:rPr>
                <w:sz w:val="20"/>
                <w:szCs w:val="20"/>
              </w:rPr>
              <w:t>92%</w:t>
            </w:r>
          </w:p>
        </w:tc>
      </w:tr>
    </w:tbl>
    <w:p w:rsidR="006357C5" w:rsidRPr="00F71402" w:rsidRDefault="006357C5" w:rsidP="006357C5">
      <w:pPr>
        <w:pStyle w:val="ListParagraph"/>
        <w:tabs>
          <w:tab w:val="left" w:pos="270"/>
        </w:tabs>
        <w:ind w:left="-90"/>
        <w:contextualSpacing w:val="0"/>
        <w:rPr>
          <w:sz w:val="18"/>
          <w:szCs w:val="18"/>
          <w:lang w:val="fr-HT"/>
        </w:rPr>
      </w:pPr>
      <w:r w:rsidRPr="009F5024">
        <w:rPr>
          <w:sz w:val="18"/>
          <w:szCs w:val="18"/>
          <w:u w:val="single"/>
          <w:lang w:val="fr-HT"/>
        </w:rPr>
        <w:t>Source:</w:t>
      </w:r>
      <w:r w:rsidRPr="00575059">
        <w:rPr>
          <w:sz w:val="18"/>
          <w:szCs w:val="18"/>
          <w:lang w:val="fr-HT"/>
        </w:rPr>
        <w:t xml:space="preserve"> www.educationcounts.govt.nz</w:t>
      </w:r>
    </w:p>
    <w:p w:rsidR="006357C5"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p>
    <w:p w:rsidR="006357C5"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DF0CD6">
        <w:t>The four major sources of household payments to tertiary education are student loans, student allowances, employment, and family assistance. Student loans and allowances constitute the backbone of the current Government financial student aid model, and consist of a combination of a single loan scheme and a means-tested student allowance scheme. StudyLink previously offered two scholarships, the Bonded Merit Scholarship and the Step Up Scholarship, which provided another means of private financing of tertiary education.</w:t>
      </w:r>
      <w:r>
        <w:t xml:space="preserve"> </w:t>
      </w:r>
      <w:r w:rsidRPr="00DF0CD6">
        <w:t xml:space="preserve">These programs, however, were eliminated in May 2009 as part of a strategy to rationalize the Ministry of Education’s budget. Indeed, the Government cut NZD$98 million from tertiary scholarships in 2009. Paid part-time work during the academic year or during recess represents another important source of student revenue that is partly transferred to TEIs through the payment of tuition fees. According to the New Zealand Union of Students’ Associations survey, full-time students worked an average of 12 hours a week in 2010. One in six respondents to the survey also received financial gifts from their families. </w:t>
      </w:r>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DF0CD6">
        <w:t xml:space="preserve">Public tertiary education institutions derive their revenues from four major sources: direct government subsidies (48%), student tuition fees (29%), external research contracts (9%) and other income (e.g. provision of services) (13%) (Goedegebuure et al. 2008). </w:t>
      </w:r>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DF0CD6">
        <w:t>Government subsidies come predominantly from the Student Achievement Component (SAC), which contributes to the direct costs of teaching and learning at both public and private universities, institutes of technology and polytechnics, w</w:t>
      </w:r>
      <w:r w:rsidRPr="00DF0CD6">
        <w:rPr>
          <w:color w:val="262626"/>
        </w:rPr>
        <w:t>ā</w:t>
      </w:r>
      <w:r w:rsidRPr="00DF0CD6">
        <w:t xml:space="preserve">nanga, private training establishments and rural education activities programs. Levels of SAC funding, which are determined by the Government’s Budget process, are proportional to the number of equivalent-full-time students (EFTS) in each institution, and fluctuate depending on the field of study and academic qualification of EFTS. </w:t>
      </w:r>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DF0CD6">
        <w:lastRenderedPageBreak/>
        <w:t xml:space="preserve">The calculation of SAC funding involves a number of steps, which are outlined in Table </w:t>
      </w:r>
      <w:r>
        <w:t>60</w:t>
      </w:r>
      <w:r w:rsidRPr="00DF0CD6">
        <w:t xml:space="preserve">. In general, however, a TEI’s total SAC funding equals the number of EFTS in each funding category, multiplied by the funding rate for each category. SAC funding rates for universities, ITPs and wānanga for 2012 range from NZD$3,405 to NZD$51,690. There are 17 funding categories spread through non-degree, undergraduate degree, taught postgraduate, research postgraduate and foreign student research-based programs. At the same time, there are 39 course classifications, which determine the type of funding category applicable to the qualification. Courses of different classifications, such as Pharmacy and Dietetics, can be placed in the same category. Some courses such as Medical Radiation Therapy, however, do not share the same category with other courses. </w:t>
      </w:r>
    </w:p>
    <w:p w:rsidR="006357C5"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p>
    <w:p w:rsidR="006357C5"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DF0CD6">
        <w:t xml:space="preserve">The second main source of Government funding is the relatively recent Performance-Based Research Fund (PBRF), which covers TEI research costs and which will allocate approximately NZD$1.6 billion for the six years starting in 2012 (a total of NZD$238.7 million was allocated for 2009). A total of 45 TEIs were eligible for PBRF funding in 2009 and 2010, which account for 36.1% of total research income for universities in 2009. In the same year, centers of research excellence accounted for 5.2% of total research income, other research contracts for 58.2% and other funds accounted for 0.5% (including the Building Research Capability in the Social Sciences fund and the Building Research Capability of Strategically Relevant Areas Fund). The PBRF is allocated on the basis of TEIs research performance, which is evaluated through three main mechanisms: peer review quality assessments (60% weighting), postgraduate research degree completions (25% weighting), and external research income (15% weighting). Other sources of research funds are available through the Ministry for Research, Science and Technology. </w:t>
      </w:r>
    </w:p>
    <w:p w:rsidR="006357C5"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DF0CD6">
        <w:tab/>
      </w:r>
    </w:p>
    <w:p w:rsidR="006357C5" w:rsidRPr="00DF0CD6" w:rsidRDefault="006357C5" w:rsidP="006357C5">
      <w:pPr>
        <w:jc w:val="both"/>
      </w:pPr>
      <w:r w:rsidRPr="00DF0CD6">
        <w:br w:type="page"/>
      </w:r>
    </w:p>
    <w:p w:rsidR="006357C5" w:rsidRDefault="006357C5" w:rsidP="006357C5">
      <w:pPr>
        <w:pStyle w:val="TableHeading"/>
      </w:pPr>
      <w:bookmarkStart w:id="80" w:name="_Toc328382222"/>
      <w:bookmarkStart w:id="81" w:name="_Toc328742906"/>
      <w:r w:rsidRPr="00DF0CD6">
        <w:lastRenderedPageBreak/>
        <w:t xml:space="preserve">Table </w:t>
      </w:r>
      <w:r>
        <w:t>60</w:t>
      </w:r>
      <w:r w:rsidRPr="00DF0CD6">
        <w:t>: Calculation of Student Achievement Component (SAC) Funding</w:t>
      </w:r>
      <w:bookmarkEnd w:id="80"/>
      <w:bookmarkEnd w:id="81"/>
    </w:p>
    <w:p w:rsidR="006357C5" w:rsidRDefault="006357C5" w:rsidP="006357C5">
      <w:pPr>
        <w:pStyle w:val="TableHeading"/>
      </w:pPr>
    </w:p>
    <w:p w:rsidR="006357C5"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pPr>
      <w:r>
        <w:rPr>
          <w:noProof/>
        </w:rPr>
        <w:drawing>
          <wp:inline distT="0" distB="0" distL="0" distR="0" wp14:anchorId="6046510B" wp14:editId="049FFF7F">
            <wp:extent cx="4537710" cy="4882515"/>
            <wp:effectExtent l="19050" t="0" r="0"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a:srcRect/>
                    <a:stretch>
                      <a:fillRect/>
                    </a:stretch>
                  </pic:blipFill>
                  <pic:spPr bwMode="auto">
                    <a:xfrm>
                      <a:off x="0" y="0"/>
                      <a:ext cx="4537710" cy="4882515"/>
                    </a:xfrm>
                    <a:prstGeom prst="rect">
                      <a:avLst/>
                    </a:prstGeom>
                    <a:noFill/>
                    <a:ln w="9525">
                      <a:noFill/>
                      <a:miter lim="800000"/>
                      <a:headEnd/>
                      <a:tailEnd/>
                    </a:ln>
                  </pic:spPr>
                </pic:pic>
              </a:graphicData>
            </a:graphic>
          </wp:inline>
        </w:drawing>
      </w:r>
    </w:p>
    <w:p w:rsidR="006357C5" w:rsidRPr="00297B65" w:rsidRDefault="006357C5" w:rsidP="006357C5">
      <w:pPr>
        <w:ind w:left="720"/>
        <w:rPr>
          <w:sz w:val="18"/>
          <w:szCs w:val="18"/>
        </w:rPr>
      </w:pPr>
      <w:r>
        <w:rPr>
          <w:lang w:val="fr-HT"/>
        </w:rPr>
        <w:t xml:space="preserve">      </w:t>
      </w:r>
      <w:r w:rsidRPr="00297B65">
        <w:rPr>
          <w:sz w:val="18"/>
          <w:szCs w:val="18"/>
          <w:lang w:val="fr-HT"/>
        </w:rPr>
        <w:t xml:space="preserve">   </w:t>
      </w:r>
      <w:r w:rsidRPr="00297B65">
        <w:rPr>
          <w:sz w:val="18"/>
          <w:szCs w:val="18"/>
          <w:u w:val="single"/>
          <w:lang w:val="fr-HT"/>
        </w:rPr>
        <w:t>Source:</w:t>
      </w:r>
      <w:r w:rsidRPr="00297B65">
        <w:rPr>
          <w:sz w:val="18"/>
          <w:szCs w:val="18"/>
          <w:lang w:val="fr-HT"/>
        </w:rPr>
        <w:t xml:space="preserve"> </w:t>
      </w:r>
      <w:hyperlink r:id="rId16" w:history="1">
        <w:r w:rsidRPr="00297B65">
          <w:rPr>
            <w:rStyle w:val="Hyperlink"/>
            <w:rFonts w:cs="Arial"/>
            <w:sz w:val="18"/>
            <w:szCs w:val="18"/>
            <w:lang w:val="fr-HT"/>
          </w:rPr>
          <w:t>www.tec.govt.nz</w:t>
        </w:r>
      </w:hyperlink>
      <w:r w:rsidRPr="00297B65">
        <w:rPr>
          <w:sz w:val="18"/>
          <w:szCs w:val="18"/>
          <w:lang w:val="fr-HT"/>
        </w:rPr>
        <w:t xml:space="preserve">. </w:t>
      </w:r>
      <w:r w:rsidRPr="00297B65">
        <w:rPr>
          <w:sz w:val="18"/>
          <w:szCs w:val="18"/>
        </w:rPr>
        <w:t>GST: Goods and Services Tax</w:t>
      </w:r>
    </w:p>
    <w:p w:rsidR="006357C5"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 w:val="18"/>
          <w:szCs w:val="18"/>
        </w:rPr>
      </w:pPr>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DF0CD6">
        <w:t xml:space="preserve">Finally, the Government’s Strategic Development Component allocates funding on a targeted basis to improve TEIs compliance with the Tertiary Education Strategy. The Strategic Development Component includes special supplementary grants for indigenous students and funds to foster connections with the private sector, among others. In order to receive public funding, TEIs must first obtain charter approval. Through the Assessment of Strategic Relevance, they also have to demonstrate alignment with the Tertiary Education Strategy. </w:t>
      </w:r>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rsidR="006357C5" w:rsidRPr="00DF0CD6" w:rsidRDefault="006357C5" w:rsidP="006357C5">
      <w:pPr>
        <w:tabs>
          <w:tab w:val="left" w:pos="270"/>
        </w:tabs>
        <w:rPr>
          <w:b/>
        </w:rPr>
      </w:pPr>
      <w:r w:rsidRPr="00DF0CD6">
        <w:rPr>
          <w:b/>
        </w:rPr>
        <w:t>C) Analysis of the student aid system and how it helps public actors cover costs of tertiary education</w:t>
      </w:r>
    </w:p>
    <w:p w:rsidR="006357C5" w:rsidRPr="00DF0CD6" w:rsidRDefault="006357C5" w:rsidP="006357C5">
      <w:pPr>
        <w:tabs>
          <w:tab w:val="left" w:pos="270"/>
        </w:tabs>
        <w:rPr>
          <w:b/>
        </w:rPr>
      </w:pPr>
    </w:p>
    <w:p w:rsidR="006357C5" w:rsidRDefault="006357C5" w:rsidP="006357C5">
      <w:pPr>
        <w:tabs>
          <w:tab w:val="left" w:pos="270"/>
        </w:tabs>
        <w:jc w:val="both"/>
      </w:pPr>
      <w:r w:rsidRPr="00DF0CD6">
        <w:t xml:space="preserve">The Government of New Zealand covers students’ education costs through two main interconnected initiatives: the Student Loan Scheme and the Student Allowances Scheme. About 51% of full-time students in regular academic programs in New Zealand benefit from </w:t>
      </w:r>
      <w:r w:rsidRPr="00DF0CD6">
        <w:lastRenderedPageBreak/>
        <w:t xml:space="preserve">public loans only, 4% from grants only and 35% from public loans and grants. About 10% of full-time students do not benefit from public loans or grants. </w:t>
      </w:r>
    </w:p>
    <w:p w:rsidR="006357C5" w:rsidRDefault="006357C5" w:rsidP="006357C5">
      <w:pPr>
        <w:rPr>
          <w:b/>
        </w:rPr>
      </w:pPr>
    </w:p>
    <w:p w:rsidR="006357C5" w:rsidRPr="00801949" w:rsidRDefault="006357C5" w:rsidP="006357C5">
      <w:pPr>
        <w:rPr>
          <w:b/>
        </w:rPr>
      </w:pPr>
      <w:r w:rsidRPr="00801949">
        <w:rPr>
          <w:b/>
        </w:rPr>
        <w:t>Student Loan Scheme</w:t>
      </w:r>
    </w:p>
    <w:p w:rsidR="006357C5" w:rsidRPr="00DF0CD6" w:rsidRDefault="006357C5" w:rsidP="006357C5"/>
    <w:p w:rsidR="006357C5" w:rsidRPr="00DF0CD6" w:rsidRDefault="006357C5" w:rsidP="006357C5">
      <w:pPr>
        <w:pStyle w:val="ListParagraph"/>
        <w:tabs>
          <w:tab w:val="left" w:pos="270"/>
        </w:tabs>
        <w:ind w:left="0"/>
        <w:contextualSpacing w:val="0"/>
        <w:jc w:val="both"/>
      </w:pPr>
      <w:r w:rsidRPr="00DF0CD6">
        <w:t>The Student Loan Scheme is the largest Government aid program. Since it was established in 1992, 958,000 students have borrowed a total of NZD$15,486 million, and NZD$7,098 has been collected in loan repayments (New Zealand Ministry of Education 2011b). Meanwhile, the rate of full-time eligible students accessing the scheme has steadily increased from 75% in 2007 to 83% in 2010. The Ministry of Education, the Inland Revenue Department and the Ministry of Social Development act as joint administrators of the program.</w:t>
      </w:r>
    </w:p>
    <w:p w:rsidR="006357C5" w:rsidRPr="00DF0CD6" w:rsidRDefault="006357C5" w:rsidP="006357C5">
      <w:pPr>
        <w:pStyle w:val="ListParagraph"/>
        <w:tabs>
          <w:tab w:val="left" w:pos="270"/>
        </w:tabs>
        <w:ind w:left="0"/>
        <w:contextualSpacing w:val="0"/>
        <w:jc w:val="both"/>
      </w:pPr>
    </w:p>
    <w:p w:rsidR="006357C5" w:rsidRPr="00DF0CD6" w:rsidRDefault="006357C5" w:rsidP="006357C5">
      <w:pPr>
        <w:pStyle w:val="ListParagraph"/>
        <w:tabs>
          <w:tab w:val="left" w:pos="270"/>
        </w:tabs>
        <w:ind w:left="0"/>
        <w:contextualSpacing w:val="0"/>
        <w:jc w:val="both"/>
      </w:pPr>
      <w:r w:rsidRPr="00DF0CD6">
        <w:t>Each NZD lent costs the Government NZD 45.25 cents. To date, the Government has spent NZD$1,564 million on student loans, compared to expenditures of NZD$620 million on student allowances and NZD$2,280 on tuition subsidies (New Zealand Ministry of Education 2011b). For those who stay in the country, loans are interest-free and not indexed to inflation.</w:t>
      </w:r>
    </w:p>
    <w:p w:rsidR="006357C5" w:rsidRDefault="006357C5" w:rsidP="006357C5">
      <w:pPr>
        <w:pStyle w:val="ListParagraph"/>
        <w:tabs>
          <w:tab w:val="left" w:pos="270"/>
        </w:tabs>
        <w:ind w:left="0"/>
        <w:contextualSpacing w:val="0"/>
        <w:jc w:val="both"/>
      </w:pPr>
    </w:p>
    <w:p w:rsidR="006357C5" w:rsidRDefault="006357C5" w:rsidP="006357C5">
      <w:pPr>
        <w:pStyle w:val="ListParagraph"/>
        <w:tabs>
          <w:tab w:val="left" w:pos="270"/>
        </w:tabs>
        <w:ind w:left="0"/>
        <w:contextualSpacing w:val="0"/>
        <w:jc w:val="both"/>
      </w:pPr>
      <w:r w:rsidRPr="00DF0CD6">
        <w:t xml:space="preserve">Loan awards are divided between compulsory fees, including tuition (the largest component of borrowing); course-related costs (e.g. books, equipment, etc.); and living costs. The maximum loan amount available is the sum of all compulsory fees, up to NZD$1,000 for course-related costs and up to NZD$169.51/week for living costs. However, the living cost maximum changes each year according to changes in the Consumer Price Index (CPI), thus affecting the total maximum loan amount available. Whereas loans to pay compulsory fees are available both to full-time and part-time students, only full-time students can access funds to pay course-related costs and living costs. Students can borrow the total amount of their compulsory fees, which are directly credited to the borrower’s TEI. The living costs entitlement is paid in weekly installments in arrears. </w:t>
      </w:r>
    </w:p>
    <w:p w:rsidR="006357C5" w:rsidRDefault="006357C5" w:rsidP="006357C5">
      <w:pPr>
        <w:pStyle w:val="ListParagraph"/>
        <w:tabs>
          <w:tab w:val="left" w:pos="270"/>
        </w:tabs>
        <w:ind w:left="0"/>
        <w:contextualSpacing w:val="0"/>
        <w:jc w:val="both"/>
      </w:pPr>
    </w:p>
    <w:p w:rsidR="006357C5" w:rsidRDefault="006357C5" w:rsidP="006357C5">
      <w:pPr>
        <w:pStyle w:val="TableHeading"/>
      </w:pPr>
      <w:bookmarkStart w:id="82" w:name="_Toc328382223"/>
      <w:bookmarkStart w:id="83" w:name="_Toc328742907"/>
      <w:r w:rsidRPr="00DF0CD6">
        <w:t xml:space="preserve">Table </w:t>
      </w:r>
      <w:r>
        <w:t>61</w:t>
      </w:r>
      <w:r w:rsidRPr="00DF0CD6">
        <w:t>: Student Loan Scheme by Component (2010)</w:t>
      </w:r>
      <w:bookmarkEnd w:id="82"/>
      <w:bookmarkEnd w:id="83"/>
    </w:p>
    <w:p w:rsidR="006357C5" w:rsidRDefault="006357C5" w:rsidP="006357C5">
      <w:pPr>
        <w:pStyle w:val="TableHeading"/>
      </w:pPr>
    </w:p>
    <w:tbl>
      <w:tblPr>
        <w:tblW w:w="0" w:type="auto"/>
        <w:tblInd w:w="7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4050"/>
        <w:gridCol w:w="3780"/>
      </w:tblGrid>
      <w:tr w:rsidR="006357C5" w:rsidRPr="00DC71B4" w:rsidTr="002554CF">
        <w:tc>
          <w:tcPr>
            <w:tcW w:w="4050" w:type="dxa"/>
            <w:shd w:val="clear" w:color="auto" w:fill="F2F2F2"/>
          </w:tcPr>
          <w:p w:rsidR="006357C5"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0"/>
                <w:szCs w:val="20"/>
              </w:rPr>
            </w:pPr>
            <w:r w:rsidRPr="00DC71B4">
              <w:rPr>
                <w:rFonts w:ascii="Cambria" w:hAnsi="Cambria" w:cs="Times New Roman"/>
                <w:b/>
                <w:bCs/>
                <w:sz w:val="20"/>
                <w:szCs w:val="20"/>
              </w:rPr>
              <w:t>Percentage of borrowers</w:t>
            </w:r>
          </w:p>
        </w:tc>
        <w:tc>
          <w:tcPr>
            <w:tcW w:w="3780" w:type="dxa"/>
            <w:shd w:val="clear" w:color="auto" w:fill="F2F2F2"/>
          </w:tcPr>
          <w:p w:rsidR="006357C5"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0"/>
                <w:szCs w:val="20"/>
              </w:rPr>
            </w:pPr>
            <w:r w:rsidRPr="00DC71B4">
              <w:rPr>
                <w:rFonts w:ascii="Cambria" w:hAnsi="Cambria" w:cs="Times New Roman"/>
                <w:b/>
                <w:bCs/>
                <w:sz w:val="20"/>
                <w:szCs w:val="20"/>
              </w:rPr>
              <w:t>Component</w:t>
            </w:r>
          </w:p>
        </w:tc>
      </w:tr>
      <w:tr w:rsidR="006357C5" w:rsidRPr="00DC71B4" w:rsidTr="002554CF">
        <w:tc>
          <w:tcPr>
            <w:tcW w:w="4050" w:type="dxa"/>
          </w:tcPr>
          <w:p w:rsidR="006357C5"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Cs/>
                <w:sz w:val="20"/>
                <w:szCs w:val="20"/>
              </w:rPr>
            </w:pPr>
            <w:r w:rsidRPr="00594B5F">
              <w:rPr>
                <w:rFonts w:ascii="Cambria" w:hAnsi="Cambria" w:cs="Times New Roman"/>
                <w:bCs/>
                <w:sz w:val="20"/>
                <w:szCs w:val="20"/>
              </w:rPr>
              <w:t>93</w:t>
            </w:r>
            <w:r>
              <w:rPr>
                <w:rFonts w:ascii="Cambria" w:hAnsi="Cambria" w:cs="Times New Roman"/>
                <w:bCs/>
                <w:sz w:val="20"/>
                <w:szCs w:val="20"/>
              </w:rPr>
              <w:t>%</w:t>
            </w:r>
          </w:p>
        </w:tc>
        <w:tc>
          <w:tcPr>
            <w:tcW w:w="3780"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 w:val="20"/>
                <w:szCs w:val="20"/>
              </w:rPr>
            </w:pPr>
            <w:r w:rsidRPr="00DC71B4">
              <w:rPr>
                <w:rFonts w:ascii="Calibri" w:hAnsi="Calibri" w:cs="Times New Roman"/>
                <w:sz w:val="20"/>
                <w:szCs w:val="20"/>
              </w:rPr>
              <w:t>Fees</w:t>
            </w:r>
          </w:p>
        </w:tc>
      </w:tr>
      <w:tr w:rsidR="006357C5" w:rsidRPr="00DC71B4" w:rsidTr="002554CF">
        <w:tc>
          <w:tcPr>
            <w:tcW w:w="4050" w:type="dxa"/>
          </w:tcPr>
          <w:p w:rsidR="006357C5"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Cs/>
                <w:sz w:val="20"/>
                <w:szCs w:val="20"/>
              </w:rPr>
            </w:pPr>
            <w:r w:rsidRPr="00594B5F">
              <w:rPr>
                <w:rFonts w:ascii="Cambria" w:hAnsi="Cambria" w:cs="Times New Roman"/>
                <w:bCs/>
                <w:sz w:val="20"/>
                <w:szCs w:val="20"/>
              </w:rPr>
              <w:t>68</w:t>
            </w:r>
            <w:r>
              <w:rPr>
                <w:rFonts w:ascii="Cambria" w:hAnsi="Cambria" w:cs="Times New Roman"/>
                <w:bCs/>
                <w:sz w:val="20"/>
                <w:szCs w:val="20"/>
              </w:rPr>
              <w:t>%</w:t>
            </w:r>
          </w:p>
        </w:tc>
        <w:tc>
          <w:tcPr>
            <w:tcW w:w="3780"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 w:val="20"/>
                <w:szCs w:val="20"/>
              </w:rPr>
            </w:pPr>
            <w:r w:rsidRPr="00DC71B4">
              <w:rPr>
                <w:rFonts w:ascii="Calibri" w:hAnsi="Calibri" w:cs="Times New Roman"/>
                <w:sz w:val="20"/>
                <w:szCs w:val="20"/>
              </w:rPr>
              <w:t>Course-related costs</w:t>
            </w:r>
          </w:p>
        </w:tc>
      </w:tr>
      <w:tr w:rsidR="006357C5" w:rsidRPr="00DC71B4" w:rsidTr="002554CF">
        <w:tc>
          <w:tcPr>
            <w:tcW w:w="4050" w:type="dxa"/>
          </w:tcPr>
          <w:p w:rsidR="006357C5"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Cs/>
                <w:sz w:val="20"/>
                <w:szCs w:val="20"/>
              </w:rPr>
            </w:pPr>
            <w:r w:rsidRPr="00594B5F">
              <w:rPr>
                <w:rFonts w:ascii="Cambria" w:hAnsi="Cambria" w:cs="Times New Roman"/>
                <w:bCs/>
                <w:sz w:val="20"/>
                <w:szCs w:val="20"/>
              </w:rPr>
              <w:t>48</w:t>
            </w:r>
            <w:r>
              <w:rPr>
                <w:rFonts w:ascii="Cambria" w:hAnsi="Cambria" w:cs="Times New Roman"/>
                <w:bCs/>
                <w:sz w:val="20"/>
                <w:szCs w:val="20"/>
              </w:rPr>
              <w:t>%</w:t>
            </w:r>
          </w:p>
        </w:tc>
        <w:tc>
          <w:tcPr>
            <w:tcW w:w="3780"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 w:val="20"/>
                <w:szCs w:val="20"/>
              </w:rPr>
            </w:pPr>
            <w:r w:rsidRPr="00DC71B4">
              <w:rPr>
                <w:rFonts w:ascii="Calibri" w:hAnsi="Calibri" w:cs="Times New Roman"/>
                <w:sz w:val="20"/>
                <w:szCs w:val="20"/>
              </w:rPr>
              <w:t>Living costs</w:t>
            </w:r>
          </w:p>
        </w:tc>
      </w:tr>
      <w:tr w:rsidR="006357C5" w:rsidRPr="00DC71B4" w:rsidTr="002554CF">
        <w:tc>
          <w:tcPr>
            <w:tcW w:w="4050" w:type="dxa"/>
          </w:tcPr>
          <w:p w:rsidR="006357C5"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Cs/>
                <w:sz w:val="20"/>
                <w:szCs w:val="20"/>
              </w:rPr>
            </w:pPr>
            <w:r w:rsidRPr="00594B5F">
              <w:rPr>
                <w:rFonts w:ascii="Cambria" w:hAnsi="Cambria" w:cs="Times New Roman"/>
                <w:bCs/>
                <w:sz w:val="20"/>
                <w:szCs w:val="20"/>
              </w:rPr>
              <w:t>22</w:t>
            </w:r>
            <w:r>
              <w:rPr>
                <w:rFonts w:ascii="Cambria" w:hAnsi="Cambria" w:cs="Times New Roman"/>
                <w:bCs/>
                <w:sz w:val="20"/>
                <w:szCs w:val="20"/>
              </w:rPr>
              <w:t>%</w:t>
            </w:r>
          </w:p>
        </w:tc>
        <w:tc>
          <w:tcPr>
            <w:tcW w:w="3780"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 w:val="20"/>
                <w:szCs w:val="20"/>
              </w:rPr>
            </w:pPr>
            <w:r w:rsidRPr="00DC71B4">
              <w:rPr>
                <w:rFonts w:ascii="Calibri" w:hAnsi="Calibri" w:cs="Times New Roman"/>
                <w:sz w:val="20"/>
                <w:szCs w:val="20"/>
              </w:rPr>
              <w:t>Fees only</w:t>
            </w:r>
          </w:p>
        </w:tc>
      </w:tr>
    </w:tbl>
    <w:p w:rsidR="006357C5"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right="900"/>
        <w:jc w:val="both"/>
        <w:rPr>
          <w:sz w:val="18"/>
          <w:szCs w:val="18"/>
        </w:rPr>
      </w:pPr>
      <w:r w:rsidRPr="007A5938">
        <w:rPr>
          <w:sz w:val="18"/>
          <w:u w:val="single"/>
        </w:rPr>
        <w:t>Source:</w:t>
      </w:r>
      <w:r w:rsidRPr="007A5938">
        <w:rPr>
          <w:sz w:val="18"/>
          <w:szCs w:val="18"/>
          <w:u w:val="single"/>
        </w:rPr>
        <w:t xml:space="preserve"> </w:t>
      </w:r>
      <w:r w:rsidRPr="00575059">
        <w:rPr>
          <w:sz w:val="18"/>
          <w:szCs w:val="18"/>
        </w:rPr>
        <w:t>Student Loan Scheme Annual Report. October 2011The Student Loan Scheme is available to all students who meet the following criteria:</w:t>
      </w:r>
      <w:r>
        <w:rPr>
          <w:sz w:val="18"/>
          <w:szCs w:val="18"/>
        </w:rPr>
        <w:t xml:space="preserve"> </w:t>
      </w:r>
    </w:p>
    <w:p w:rsidR="006357C5"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630" w:right="900"/>
        <w:jc w:val="both"/>
        <w:rPr>
          <w:sz w:val="18"/>
          <w:szCs w:val="18"/>
        </w:rPr>
      </w:pPr>
    </w:p>
    <w:p w:rsidR="006357C5" w:rsidRPr="007A5938" w:rsidRDefault="006357C5" w:rsidP="006357C5">
      <w:pPr>
        <w:pStyle w:val="ListParagraph"/>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both"/>
        <w:rPr>
          <w:sz w:val="18"/>
          <w:szCs w:val="18"/>
        </w:rPr>
      </w:pPr>
      <w:r w:rsidRPr="007A5938">
        <w:rPr>
          <w:sz w:val="18"/>
          <w:szCs w:val="18"/>
        </w:rPr>
        <w:t>New Zealand citizenship or permanent residency</w:t>
      </w:r>
    </w:p>
    <w:p w:rsidR="006357C5" w:rsidRDefault="006357C5" w:rsidP="006357C5">
      <w:pPr>
        <w:pStyle w:val="ListParagraph"/>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both"/>
        <w:rPr>
          <w:sz w:val="18"/>
          <w:szCs w:val="18"/>
        </w:rPr>
      </w:pPr>
      <w:r w:rsidRPr="00594B5F">
        <w:rPr>
          <w:sz w:val="18"/>
          <w:szCs w:val="18"/>
        </w:rPr>
        <w:t>Enrollment in an approved program offered by a recognized TEI</w:t>
      </w:r>
    </w:p>
    <w:p w:rsidR="006357C5" w:rsidRDefault="006357C5" w:rsidP="006357C5">
      <w:pPr>
        <w:pStyle w:val="ListParagraph"/>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both"/>
        <w:rPr>
          <w:sz w:val="18"/>
          <w:szCs w:val="18"/>
        </w:rPr>
      </w:pPr>
      <w:r w:rsidRPr="00594B5F">
        <w:rPr>
          <w:sz w:val="18"/>
          <w:szCs w:val="18"/>
        </w:rPr>
        <w:t xml:space="preserve">Full-time enrollment for at least 12 weeks, part-time enrollment for a full year (32 weeks or longer), or part-time enrollment for part of the year (less than 32 weeks) </w:t>
      </w:r>
    </w:p>
    <w:p w:rsidR="006357C5" w:rsidRPr="007A5938" w:rsidRDefault="006357C5" w:rsidP="006357C5">
      <w:pPr>
        <w:pStyle w:val="ListParagraph"/>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both"/>
        <w:rPr>
          <w:sz w:val="18"/>
          <w:szCs w:val="18"/>
        </w:rPr>
      </w:pPr>
      <w:r w:rsidRPr="007A5938">
        <w:rPr>
          <w:sz w:val="18"/>
          <w:szCs w:val="18"/>
        </w:rPr>
        <w:t xml:space="preserve">Course load of at least 0.25 equivalent full-time student units </w:t>
      </w:r>
    </w:p>
    <w:p w:rsidR="006357C5" w:rsidRPr="007A5938" w:rsidRDefault="006357C5" w:rsidP="006357C5">
      <w:pPr>
        <w:pStyle w:val="ListParagraph"/>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both"/>
        <w:rPr>
          <w:sz w:val="18"/>
          <w:szCs w:val="18"/>
        </w:rPr>
      </w:pPr>
      <w:r w:rsidRPr="007A5938">
        <w:rPr>
          <w:sz w:val="18"/>
          <w:szCs w:val="18"/>
        </w:rPr>
        <w:t>Government-funded academic program</w:t>
      </w:r>
    </w:p>
    <w:p w:rsidR="006357C5" w:rsidRPr="007A5938" w:rsidRDefault="006357C5" w:rsidP="006357C5">
      <w:pPr>
        <w:pStyle w:val="ListParagraph"/>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both"/>
        <w:rPr>
          <w:sz w:val="18"/>
          <w:szCs w:val="18"/>
        </w:rPr>
      </w:pPr>
      <w:r w:rsidRPr="007A5938">
        <w:rPr>
          <w:sz w:val="18"/>
          <w:szCs w:val="18"/>
        </w:rPr>
        <w:t xml:space="preserve">Parental consent for students younger than 18 years old </w:t>
      </w:r>
    </w:p>
    <w:p w:rsidR="006357C5" w:rsidRDefault="006357C5" w:rsidP="006357C5">
      <w:pPr>
        <w:pStyle w:val="ListParagraph"/>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both"/>
        <w:rPr>
          <w:sz w:val="18"/>
          <w:szCs w:val="18"/>
        </w:rPr>
      </w:pPr>
      <w:r w:rsidRPr="007A5938">
        <w:rPr>
          <w:sz w:val="18"/>
          <w:szCs w:val="18"/>
        </w:rPr>
        <w:t xml:space="preserve">Pass at least half of course load over a set period </w:t>
      </w:r>
    </w:p>
    <w:p w:rsidR="006357C5" w:rsidRDefault="006357C5" w:rsidP="006357C5">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0"/>
        <w:contextualSpacing w:val="0"/>
        <w:jc w:val="both"/>
        <w:rPr>
          <w:sz w:val="18"/>
          <w:szCs w:val="18"/>
        </w:rPr>
      </w:pPr>
    </w:p>
    <w:p w:rsidR="006357C5" w:rsidRDefault="006357C5" w:rsidP="006357C5">
      <w:pPr>
        <w:tabs>
          <w:tab w:val="left" w:pos="270"/>
        </w:tabs>
        <w:ind w:left="630"/>
        <w:jc w:val="both"/>
        <w:rPr>
          <w:sz w:val="18"/>
          <w:szCs w:val="18"/>
        </w:rPr>
      </w:pPr>
      <w:r w:rsidRPr="007A5938">
        <w:rPr>
          <w:sz w:val="18"/>
          <w:szCs w:val="18"/>
        </w:rPr>
        <w:t>Students are not eligible to receive a loan award if they:</w:t>
      </w:r>
    </w:p>
    <w:p w:rsidR="006357C5" w:rsidRDefault="006357C5" w:rsidP="006357C5">
      <w:pPr>
        <w:tabs>
          <w:tab w:val="left" w:pos="270"/>
        </w:tabs>
        <w:ind w:left="630"/>
        <w:jc w:val="both"/>
        <w:rPr>
          <w:sz w:val="18"/>
          <w:szCs w:val="18"/>
        </w:rPr>
      </w:pPr>
    </w:p>
    <w:p w:rsidR="006357C5" w:rsidRDefault="006357C5" w:rsidP="006357C5">
      <w:pPr>
        <w:pStyle w:val="ListParagraph"/>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both"/>
        <w:rPr>
          <w:sz w:val="18"/>
          <w:szCs w:val="18"/>
        </w:rPr>
      </w:pPr>
      <w:r w:rsidRPr="007A5938">
        <w:rPr>
          <w:sz w:val="18"/>
          <w:szCs w:val="18"/>
        </w:rPr>
        <w:t xml:space="preserve">Are undischarged bankrupts </w:t>
      </w:r>
    </w:p>
    <w:p w:rsidR="006357C5" w:rsidRDefault="006357C5" w:rsidP="006357C5">
      <w:pPr>
        <w:pStyle w:val="ListParagraph"/>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both"/>
        <w:rPr>
          <w:sz w:val="18"/>
          <w:szCs w:val="18"/>
        </w:rPr>
      </w:pPr>
      <w:r w:rsidRPr="007A5938">
        <w:rPr>
          <w:sz w:val="18"/>
          <w:szCs w:val="18"/>
        </w:rPr>
        <w:t>Have exceeded the 7 equivalent full-time study (EFTS) limit (between 5 and 9 years of full-time study).</w:t>
      </w:r>
      <w:r w:rsidRPr="00D9067E">
        <w:rPr>
          <w:sz w:val="18"/>
          <w:szCs w:val="18"/>
          <w:vertAlign w:val="superscript"/>
        </w:rPr>
        <w:footnoteReference w:id="15"/>
      </w:r>
      <w:r w:rsidRPr="007A5938">
        <w:rPr>
          <w:sz w:val="18"/>
          <w:szCs w:val="18"/>
        </w:rPr>
        <w:t xml:space="preserve"> (Students may be eligible for additional entitlement beyond this limit to finish a paper or course of study or to complete postgraduate study).</w:t>
      </w:r>
    </w:p>
    <w:p w:rsidR="006357C5" w:rsidRPr="00DF0CD6" w:rsidRDefault="006357C5" w:rsidP="006357C5">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contextualSpacing w:val="0"/>
        <w:jc w:val="both"/>
      </w:pPr>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DF0CD6">
        <w:t xml:space="preserve">For New Zealand-based graduates, the scheme is income-contingent, meaning that loan repayments depend on individual earnings. In New Zealand, most repayments are collected through the national tax system. Employers deduct payments from the salaries of employee borrowers when they exceed the repayment threshold (NZD$19,084), and later transfer these payments to Inland Revenue. Repayments are 10 cents for every dollar of taxable income above the repayment threshold. Self-employed borrowers whose income exceeds the repayment threshold make payments directly to Inland Revenue. Voluntary payments to accelerate total loan repayment are optional (Chapman and Tulip 2008). </w:t>
      </w:r>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p>
    <w:p w:rsidR="006357C5" w:rsidRDefault="006357C5" w:rsidP="006357C5">
      <w:pPr>
        <w:tabs>
          <w:tab w:val="left" w:pos="270"/>
        </w:tabs>
        <w:jc w:val="both"/>
      </w:pPr>
      <w:r w:rsidRPr="00DF0CD6">
        <w:t>Repayment times vary according to graduates’ place of residence. About half of those who finished their studies in 2006 and stayed in New Zealand have managed to settle their loan in 5.2 years, while three quarters repaid within 14.1 years. However, 2006 graduates who moved outside of the country have a median repayment time of 6.7 years (New Zealand Ministry of Education 2011b). In June 2010, there were 100,067 borrowers with payments that were overdue, representing about 16% of the total number of borrowers. In 2006, the Government introduced an interest-free student loan policy in order to counteract negative repayment, a trend where the loan balance increases once borrowing has finished. Although interest is not charged on overdue repayments, since 2007 borrowers are charged a penalty of 1.5 percent per month on outstanding amounts greater than NZD$333. Penalties also apply to the total outstanding until the loan is repaid in full. In general, borrowers facing serious financial hardship can negotiate a repayment arrangement.</w:t>
      </w:r>
    </w:p>
    <w:p w:rsidR="006357C5" w:rsidRDefault="006357C5" w:rsidP="006357C5">
      <w:pPr>
        <w:tabs>
          <w:tab w:val="left" w:pos="270"/>
        </w:tabs>
        <w:jc w:val="both"/>
      </w:pPr>
    </w:p>
    <w:p w:rsidR="006357C5" w:rsidRPr="00801949" w:rsidRDefault="006357C5" w:rsidP="006357C5">
      <w:pPr>
        <w:rPr>
          <w:b/>
        </w:rPr>
      </w:pPr>
      <w:r w:rsidRPr="00801949">
        <w:rPr>
          <w:b/>
          <w:lang w:val="en-GB"/>
        </w:rPr>
        <w:t>Student</w:t>
      </w:r>
      <w:r w:rsidRPr="00801949">
        <w:rPr>
          <w:b/>
        </w:rPr>
        <w:t xml:space="preserve"> </w:t>
      </w:r>
      <w:r w:rsidRPr="00801949">
        <w:rPr>
          <w:b/>
          <w:lang w:val="en-GB"/>
        </w:rPr>
        <w:t>Allowances</w:t>
      </w:r>
    </w:p>
    <w:p w:rsidR="006357C5" w:rsidRPr="00DF0CD6" w:rsidRDefault="006357C5" w:rsidP="006357C5">
      <w:pPr>
        <w:tabs>
          <w:tab w:val="left" w:pos="270"/>
        </w:tabs>
        <w:jc w:val="both"/>
      </w:pPr>
    </w:p>
    <w:p w:rsidR="006357C5" w:rsidRPr="00DF0CD6" w:rsidRDefault="006357C5" w:rsidP="006357C5">
      <w:pPr>
        <w:tabs>
          <w:tab w:val="left" w:pos="270"/>
        </w:tabs>
        <w:jc w:val="both"/>
      </w:pPr>
      <w:r w:rsidRPr="00DF0CD6">
        <w:t xml:space="preserve">The second component of New Zealand’s student financial support system is the Student Allowances program. Founded in 1989, this scheme consists of a weekly payment that helps cover living expenses of students with financial need. Unlike Government loans, the Student Allowance does not have to be repaid. Students who receive student allowances may also request student loans, though the living costs entitlement decreases by the amount of the allowance. </w:t>
      </w:r>
    </w:p>
    <w:p w:rsidR="006357C5" w:rsidRPr="00DF0CD6" w:rsidRDefault="006357C5" w:rsidP="006357C5">
      <w:pPr>
        <w:jc w:val="both"/>
      </w:pPr>
    </w:p>
    <w:p w:rsidR="006357C5" w:rsidRPr="00DF0CD6" w:rsidRDefault="006357C5" w:rsidP="006357C5">
      <w:pPr>
        <w:jc w:val="both"/>
      </w:pPr>
      <w:r w:rsidRPr="00DF0CD6">
        <w:t>Recipients must meet the following eligibility criteria:</w:t>
      </w:r>
    </w:p>
    <w:p w:rsidR="006357C5" w:rsidRDefault="006357C5" w:rsidP="006357C5">
      <w:pPr>
        <w:pStyle w:val="ListParagraph"/>
        <w:widowControl w:val="0"/>
        <w:numPr>
          <w:ilvl w:val="0"/>
          <w:numId w:val="15"/>
        </w:numPr>
        <w:autoSpaceDE w:val="0"/>
        <w:autoSpaceDN w:val="0"/>
        <w:adjustRightInd w:val="0"/>
        <w:contextualSpacing w:val="0"/>
        <w:jc w:val="both"/>
      </w:pPr>
      <w:r w:rsidRPr="00DF0CD6">
        <w:lastRenderedPageBreak/>
        <w:t>At least 18 years of age (some 16-17 year-olds also qualify)</w:t>
      </w:r>
    </w:p>
    <w:p w:rsidR="006357C5" w:rsidRDefault="006357C5" w:rsidP="006357C5">
      <w:pPr>
        <w:pStyle w:val="ListParagraph"/>
        <w:widowControl w:val="0"/>
        <w:numPr>
          <w:ilvl w:val="0"/>
          <w:numId w:val="15"/>
        </w:numPr>
        <w:autoSpaceDE w:val="0"/>
        <w:autoSpaceDN w:val="0"/>
        <w:adjustRightInd w:val="0"/>
        <w:contextualSpacing w:val="0"/>
        <w:jc w:val="both"/>
      </w:pPr>
      <w:r w:rsidRPr="00DF0CD6">
        <w:t>Full-time or limited full-time study</w:t>
      </w:r>
    </w:p>
    <w:p w:rsidR="006357C5" w:rsidRDefault="006357C5" w:rsidP="006357C5">
      <w:pPr>
        <w:pStyle w:val="ListParagraph"/>
        <w:widowControl w:val="0"/>
        <w:numPr>
          <w:ilvl w:val="0"/>
          <w:numId w:val="15"/>
        </w:numPr>
        <w:autoSpaceDE w:val="0"/>
        <w:autoSpaceDN w:val="0"/>
        <w:adjustRightInd w:val="0"/>
        <w:contextualSpacing w:val="0"/>
        <w:jc w:val="both"/>
      </w:pPr>
      <w:r w:rsidRPr="00DF0CD6">
        <w:t>Enrollment in a TEC-approved tertiary course</w:t>
      </w:r>
    </w:p>
    <w:p w:rsidR="006357C5" w:rsidRDefault="006357C5" w:rsidP="006357C5">
      <w:pPr>
        <w:pStyle w:val="ListParagraph"/>
        <w:widowControl w:val="0"/>
        <w:numPr>
          <w:ilvl w:val="0"/>
          <w:numId w:val="15"/>
        </w:numPr>
        <w:autoSpaceDE w:val="0"/>
        <w:autoSpaceDN w:val="0"/>
        <w:adjustRightInd w:val="0"/>
        <w:contextualSpacing w:val="0"/>
        <w:jc w:val="both"/>
      </w:pPr>
      <w:r w:rsidRPr="00DF0CD6">
        <w:t xml:space="preserve">New Zealand citizenship or indefinite residency status </w:t>
      </w:r>
    </w:p>
    <w:p w:rsidR="006357C5" w:rsidRPr="00DF0CD6" w:rsidRDefault="006357C5" w:rsidP="006357C5">
      <w:pPr>
        <w:pStyle w:val="ListParagraph"/>
        <w:widowControl w:val="0"/>
        <w:autoSpaceDE w:val="0"/>
        <w:autoSpaceDN w:val="0"/>
        <w:adjustRightInd w:val="0"/>
        <w:contextualSpacing w:val="0"/>
        <w:jc w:val="both"/>
      </w:pPr>
    </w:p>
    <w:p w:rsidR="006357C5" w:rsidRDefault="006357C5" w:rsidP="006357C5">
      <w:pPr>
        <w:widowControl w:val="0"/>
        <w:autoSpaceDE w:val="0"/>
        <w:autoSpaceDN w:val="0"/>
        <w:adjustRightInd w:val="0"/>
        <w:jc w:val="both"/>
      </w:pPr>
      <w:r w:rsidRPr="00DF0CD6">
        <w:t>The amount of Student Allowance payments is determined by many factors, including:</w:t>
      </w:r>
    </w:p>
    <w:p w:rsidR="006357C5" w:rsidRDefault="006357C5" w:rsidP="006357C5">
      <w:pPr>
        <w:widowControl w:val="0"/>
        <w:autoSpaceDE w:val="0"/>
        <w:autoSpaceDN w:val="0"/>
        <w:adjustRightInd w:val="0"/>
        <w:jc w:val="both"/>
      </w:pPr>
    </w:p>
    <w:p w:rsidR="006357C5" w:rsidRDefault="006357C5" w:rsidP="006357C5">
      <w:pPr>
        <w:pStyle w:val="ListParagraph"/>
        <w:widowControl w:val="0"/>
        <w:numPr>
          <w:ilvl w:val="0"/>
          <w:numId w:val="16"/>
        </w:numPr>
        <w:tabs>
          <w:tab w:val="left" w:pos="220"/>
          <w:tab w:val="left" w:pos="720"/>
        </w:tabs>
        <w:autoSpaceDE w:val="0"/>
        <w:autoSpaceDN w:val="0"/>
        <w:adjustRightInd w:val="0"/>
        <w:contextualSpacing w:val="0"/>
        <w:jc w:val="both"/>
      </w:pPr>
      <w:r w:rsidRPr="00DF0CD6">
        <w:t>Student’s income</w:t>
      </w:r>
    </w:p>
    <w:p w:rsidR="006357C5" w:rsidRDefault="006357C5" w:rsidP="006357C5">
      <w:pPr>
        <w:pStyle w:val="ListParagraph"/>
        <w:widowControl w:val="0"/>
        <w:numPr>
          <w:ilvl w:val="0"/>
          <w:numId w:val="16"/>
        </w:numPr>
        <w:tabs>
          <w:tab w:val="left" w:pos="220"/>
          <w:tab w:val="left" w:pos="720"/>
        </w:tabs>
        <w:autoSpaceDE w:val="0"/>
        <w:autoSpaceDN w:val="0"/>
        <w:adjustRightInd w:val="0"/>
        <w:contextualSpacing w:val="0"/>
        <w:jc w:val="both"/>
      </w:pPr>
      <w:r w:rsidRPr="00DF0CD6">
        <w:t>Parents’ income (if student is under 24 years of age)</w:t>
      </w:r>
    </w:p>
    <w:p w:rsidR="006357C5" w:rsidRDefault="006357C5" w:rsidP="006357C5">
      <w:pPr>
        <w:pStyle w:val="ListParagraph"/>
        <w:widowControl w:val="0"/>
        <w:numPr>
          <w:ilvl w:val="0"/>
          <w:numId w:val="16"/>
        </w:numPr>
        <w:tabs>
          <w:tab w:val="left" w:pos="220"/>
          <w:tab w:val="left" w:pos="720"/>
        </w:tabs>
        <w:autoSpaceDE w:val="0"/>
        <w:autoSpaceDN w:val="0"/>
        <w:adjustRightInd w:val="0"/>
        <w:contextualSpacing w:val="0"/>
        <w:jc w:val="both"/>
      </w:pPr>
      <w:r w:rsidRPr="00DF0CD6">
        <w:t xml:space="preserve">Student’s residence </w:t>
      </w:r>
    </w:p>
    <w:p w:rsidR="006357C5" w:rsidRDefault="006357C5" w:rsidP="006357C5">
      <w:pPr>
        <w:pStyle w:val="ListParagraph"/>
        <w:widowControl w:val="0"/>
        <w:numPr>
          <w:ilvl w:val="0"/>
          <w:numId w:val="16"/>
        </w:numPr>
        <w:tabs>
          <w:tab w:val="left" w:pos="220"/>
          <w:tab w:val="left" w:pos="720"/>
        </w:tabs>
        <w:autoSpaceDE w:val="0"/>
        <w:autoSpaceDN w:val="0"/>
        <w:adjustRightInd w:val="0"/>
        <w:contextualSpacing w:val="0"/>
        <w:jc w:val="both"/>
      </w:pPr>
      <w:r w:rsidRPr="00DF0CD6">
        <w:t>Student’s partner and his/her income</w:t>
      </w:r>
    </w:p>
    <w:p w:rsidR="006357C5" w:rsidRDefault="006357C5" w:rsidP="006357C5">
      <w:pPr>
        <w:pStyle w:val="ListParagraph"/>
        <w:widowControl w:val="0"/>
        <w:numPr>
          <w:ilvl w:val="0"/>
          <w:numId w:val="16"/>
        </w:numPr>
        <w:tabs>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both"/>
      </w:pPr>
      <w:r w:rsidRPr="00DF0CD6">
        <w:t>Student’s children</w:t>
      </w:r>
    </w:p>
    <w:p w:rsidR="006357C5" w:rsidRDefault="006357C5" w:rsidP="006357C5">
      <w:pPr>
        <w:widowControl w:val="0"/>
        <w:tabs>
          <w:tab w:val="left" w:pos="72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jc w:val="both"/>
      </w:pPr>
    </w:p>
    <w:p w:rsidR="006357C5" w:rsidRDefault="006357C5" w:rsidP="006357C5">
      <w:pPr>
        <w:widowControl w:val="0"/>
        <w:autoSpaceDE w:val="0"/>
        <w:autoSpaceDN w:val="0"/>
        <w:adjustRightInd w:val="0"/>
        <w:jc w:val="both"/>
      </w:pPr>
      <w:r w:rsidRPr="00DF0CD6">
        <w:t xml:space="preserve">Once the Student Allowance is awarded, a recipient’s gross weekly income may not exceed NZD$203.13. For every cent earned over this amount, the Student Allowance will be reduced by the same amount. Students may be eligible for an additional Accommodation Benefit if they do not live with their parents. In most cases, students can only receive the Allowance for 200 weeks. </w:t>
      </w:r>
    </w:p>
    <w:p w:rsidR="006357C5" w:rsidRDefault="006357C5" w:rsidP="006357C5">
      <w:pPr>
        <w:widowControl w:val="0"/>
        <w:autoSpaceDE w:val="0"/>
        <w:autoSpaceDN w:val="0"/>
        <w:adjustRightInd w:val="0"/>
        <w:jc w:val="both"/>
      </w:pPr>
    </w:p>
    <w:p w:rsidR="006357C5" w:rsidRPr="00801949" w:rsidRDefault="006357C5" w:rsidP="006357C5">
      <w:pPr>
        <w:rPr>
          <w:b/>
          <w:bCs/>
        </w:rPr>
      </w:pPr>
      <w:r w:rsidRPr="00801949">
        <w:rPr>
          <w:b/>
        </w:rPr>
        <w:t>Other programs</w:t>
      </w:r>
    </w:p>
    <w:p w:rsidR="006357C5" w:rsidRPr="00DF0CD6" w:rsidRDefault="006357C5" w:rsidP="006357C5">
      <w:pPr>
        <w:jc w:val="both"/>
        <w:rPr>
          <w:lang w:val="en-GB"/>
        </w:rPr>
      </w:pPr>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DF0CD6">
        <w:t>A range of smaller Government-sponsored schemes is also available for particular purposes. These programs are summarized in the table below.</w:t>
      </w:r>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rsidR="006357C5" w:rsidRDefault="006357C5" w:rsidP="006357C5">
      <w:pPr>
        <w:pStyle w:val="TableHeading"/>
      </w:pPr>
      <w:bookmarkStart w:id="84" w:name="_Toc328382224"/>
      <w:bookmarkStart w:id="85" w:name="_Toc328742908"/>
      <w:r w:rsidRPr="00DF0CD6">
        <w:t xml:space="preserve">Table </w:t>
      </w:r>
      <w:r>
        <w:t>62</w:t>
      </w:r>
      <w:r w:rsidRPr="00DF0CD6">
        <w:t>: Smaller Government Student Aid Programs (NZD$)</w:t>
      </w:r>
      <w:bookmarkEnd w:id="84"/>
      <w:bookmarkEnd w:id="85"/>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1798"/>
        <w:gridCol w:w="1998"/>
        <w:gridCol w:w="1536"/>
        <w:gridCol w:w="1414"/>
        <w:gridCol w:w="1805"/>
        <w:gridCol w:w="1025"/>
      </w:tblGrid>
      <w:tr w:rsidR="006357C5" w:rsidRPr="00DC71B4" w:rsidTr="002554CF">
        <w:tc>
          <w:tcPr>
            <w:tcW w:w="1818" w:type="dxa"/>
            <w:shd w:val="clear" w:color="auto" w:fill="F2F2F2"/>
          </w:tcPr>
          <w:p w:rsidR="006357C5" w:rsidRPr="00DC71B4" w:rsidRDefault="006357C5" w:rsidP="002554CF">
            <w:pPr>
              <w:tabs>
                <w:tab w:val="left" w:pos="270"/>
              </w:tabs>
              <w:spacing w:line="240" w:lineRule="auto"/>
              <w:rPr>
                <w:b/>
                <w:bCs/>
                <w:sz w:val="20"/>
                <w:szCs w:val="20"/>
              </w:rPr>
            </w:pPr>
            <w:r w:rsidRPr="00DC71B4">
              <w:rPr>
                <w:rFonts w:ascii="Cambria" w:hAnsi="Cambria" w:cs="Times New Roman"/>
                <w:b/>
                <w:bCs/>
                <w:sz w:val="20"/>
                <w:szCs w:val="20"/>
              </w:rPr>
              <w:t>Scheme</w:t>
            </w:r>
          </w:p>
        </w:tc>
        <w:tc>
          <w:tcPr>
            <w:tcW w:w="2160" w:type="dxa"/>
            <w:shd w:val="clear" w:color="auto" w:fill="F2F2F2"/>
          </w:tcPr>
          <w:p w:rsidR="006357C5" w:rsidRPr="00DC71B4" w:rsidRDefault="006357C5" w:rsidP="002554CF">
            <w:pPr>
              <w:tabs>
                <w:tab w:val="left" w:pos="270"/>
              </w:tabs>
              <w:spacing w:line="240" w:lineRule="auto"/>
              <w:rPr>
                <w:b/>
                <w:bCs/>
                <w:sz w:val="20"/>
                <w:szCs w:val="20"/>
              </w:rPr>
            </w:pPr>
            <w:r w:rsidRPr="00DC71B4">
              <w:rPr>
                <w:rFonts w:ascii="Cambria" w:hAnsi="Cambria" w:cs="Times New Roman"/>
                <w:b/>
                <w:bCs/>
                <w:sz w:val="20"/>
                <w:szCs w:val="20"/>
              </w:rPr>
              <w:t>Description</w:t>
            </w:r>
          </w:p>
        </w:tc>
        <w:tc>
          <w:tcPr>
            <w:tcW w:w="2520" w:type="dxa"/>
            <w:gridSpan w:val="2"/>
            <w:shd w:val="clear" w:color="auto" w:fill="F2F2F2"/>
          </w:tcPr>
          <w:p w:rsidR="006357C5" w:rsidRPr="00DC71B4" w:rsidRDefault="006357C5" w:rsidP="002554CF">
            <w:pPr>
              <w:tabs>
                <w:tab w:val="left" w:pos="270"/>
              </w:tabs>
              <w:spacing w:line="240" w:lineRule="auto"/>
              <w:rPr>
                <w:b/>
                <w:bCs/>
                <w:sz w:val="20"/>
                <w:szCs w:val="20"/>
              </w:rPr>
            </w:pPr>
            <w:r w:rsidRPr="00DC71B4">
              <w:rPr>
                <w:rFonts w:ascii="Cambria" w:hAnsi="Cambria" w:cs="Times New Roman"/>
                <w:b/>
                <w:bCs/>
                <w:sz w:val="20"/>
                <w:szCs w:val="20"/>
              </w:rPr>
              <w:t>Criteria</w:t>
            </w:r>
          </w:p>
        </w:tc>
        <w:tc>
          <w:tcPr>
            <w:tcW w:w="3078" w:type="dxa"/>
            <w:gridSpan w:val="2"/>
            <w:shd w:val="clear" w:color="auto" w:fill="F2F2F2"/>
          </w:tcPr>
          <w:p w:rsidR="006357C5" w:rsidRPr="00DC71B4" w:rsidRDefault="006357C5" w:rsidP="002554CF">
            <w:pPr>
              <w:tabs>
                <w:tab w:val="left" w:pos="270"/>
              </w:tabs>
              <w:spacing w:line="240" w:lineRule="auto"/>
              <w:rPr>
                <w:b/>
                <w:bCs/>
                <w:sz w:val="20"/>
                <w:szCs w:val="20"/>
              </w:rPr>
            </w:pPr>
            <w:r w:rsidRPr="00DC71B4">
              <w:rPr>
                <w:rFonts w:ascii="Cambria" w:hAnsi="Cambria" w:cs="Times New Roman"/>
                <w:b/>
                <w:bCs/>
                <w:sz w:val="20"/>
                <w:szCs w:val="20"/>
              </w:rPr>
              <w:t>Value</w:t>
            </w:r>
          </w:p>
        </w:tc>
      </w:tr>
      <w:tr w:rsidR="006357C5" w:rsidRPr="00DC71B4" w:rsidTr="002554CF">
        <w:trPr>
          <w:trHeight w:val="300"/>
        </w:trPr>
        <w:tc>
          <w:tcPr>
            <w:tcW w:w="1818" w:type="dxa"/>
            <w:vMerge w:val="restart"/>
          </w:tcPr>
          <w:p w:rsidR="006357C5" w:rsidRPr="00DC71B4" w:rsidRDefault="006357C5" w:rsidP="002554CF">
            <w:pPr>
              <w:tabs>
                <w:tab w:val="left" w:pos="270"/>
              </w:tabs>
              <w:spacing w:line="240" w:lineRule="auto"/>
              <w:rPr>
                <w:b/>
                <w:bCs/>
                <w:sz w:val="20"/>
                <w:szCs w:val="20"/>
              </w:rPr>
            </w:pPr>
            <w:r w:rsidRPr="00DC71B4">
              <w:rPr>
                <w:rFonts w:ascii="Cambria" w:hAnsi="Cambria" w:cs="Times New Roman"/>
                <w:b/>
                <w:bCs/>
                <w:sz w:val="20"/>
                <w:szCs w:val="20"/>
              </w:rPr>
              <w:t>Unemployment Benefit Student Hardship (UBSH)</w:t>
            </w:r>
          </w:p>
        </w:tc>
        <w:tc>
          <w:tcPr>
            <w:tcW w:w="2160" w:type="dxa"/>
            <w:vMerge w:val="restart"/>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Weekly payment to help meet living costs during study breaks</w:t>
            </w:r>
          </w:p>
        </w:tc>
        <w:tc>
          <w:tcPr>
            <w:tcW w:w="2520" w:type="dxa"/>
            <w:gridSpan w:val="2"/>
            <w:vMerge w:val="restart"/>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Age ≥ 18, or 16-17 if married or qualified for Independent Youth Benefit</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Unemployed and actively looking for a job</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New Zealand citizenship or permanent residency</w:t>
            </w:r>
          </w:p>
        </w:tc>
        <w:tc>
          <w:tcPr>
            <w:tcW w:w="2019"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16-17 years of age</w:t>
            </w:r>
          </w:p>
        </w:tc>
        <w:tc>
          <w:tcPr>
            <w:tcW w:w="1059"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$167.83</w:t>
            </w:r>
          </w:p>
        </w:tc>
      </w:tr>
      <w:tr w:rsidR="006357C5" w:rsidRPr="00DC71B4" w:rsidTr="002554CF">
        <w:trPr>
          <w:trHeight w:val="294"/>
        </w:trPr>
        <w:tc>
          <w:tcPr>
            <w:tcW w:w="1818" w:type="dxa"/>
            <w:vMerge/>
          </w:tcPr>
          <w:p w:rsidR="006357C5" w:rsidRPr="00DC71B4" w:rsidRDefault="006357C5" w:rsidP="002554CF">
            <w:pPr>
              <w:tabs>
                <w:tab w:val="left" w:pos="270"/>
              </w:tabs>
              <w:spacing w:line="240" w:lineRule="auto"/>
              <w:jc w:val="both"/>
              <w:rPr>
                <w:b/>
                <w:bCs/>
                <w:sz w:val="20"/>
                <w:szCs w:val="20"/>
              </w:rPr>
            </w:pPr>
          </w:p>
        </w:tc>
        <w:tc>
          <w:tcPr>
            <w:tcW w:w="2160" w:type="dxa"/>
            <w:vMerge/>
          </w:tcPr>
          <w:p w:rsidR="006357C5" w:rsidRPr="00DC71B4" w:rsidRDefault="006357C5" w:rsidP="002554CF">
            <w:pPr>
              <w:tabs>
                <w:tab w:val="left" w:pos="270"/>
              </w:tabs>
              <w:spacing w:line="240" w:lineRule="auto"/>
              <w:jc w:val="both"/>
              <w:rPr>
                <w:sz w:val="20"/>
                <w:szCs w:val="20"/>
              </w:rPr>
            </w:pPr>
          </w:p>
        </w:tc>
        <w:tc>
          <w:tcPr>
            <w:tcW w:w="2520" w:type="dxa"/>
            <w:gridSpan w:val="2"/>
            <w:vMerge/>
          </w:tcPr>
          <w:p w:rsidR="006357C5" w:rsidRPr="00DC71B4" w:rsidRDefault="006357C5" w:rsidP="002554CF">
            <w:pPr>
              <w:tabs>
                <w:tab w:val="left" w:pos="270"/>
              </w:tabs>
              <w:spacing w:line="240" w:lineRule="auto"/>
              <w:jc w:val="both"/>
              <w:rPr>
                <w:sz w:val="20"/>
                <w:szCs w:val="20"/>
              </w:rPr>
            </w:pPr>
          </w:p>
        </w:tc>
        <w:tc>
          <w:tcPr>
            <w:tcW w:w="2019"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Single (18-19 living at home)</w:t>
            </w:r>
          </w:p>
        </w:tc>
        <w:tc>
          <w:tcPr>
            <w:tcW w:w="1059"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$134.26</w:t>
            </w:r>
          </w:p>
        </w:tc>
      </w:tr>
      <w:tr w:rsidR="006357C5" w:rsidRPr="00DC71B4" w:rsidTr="002554CF">
        <w:trPr>
          <w:trHeight w:val="294"/>
        </w:trPr>
        <w:tc>
          <w:tcPr>
            <w:tcW w:w="1818" w:type="dxa"/>
            <w:vMerge/>
          </w:tcPr>
          <w:p w:rsidR="006357C5" w:rsidRPr="00DC71B4" w:rsidRDefault="006357C5" w:rsidP="002554CF">
            <w:pPr>
              <w:tabs>
                <w:tab w:val="left" w:pos="270"/>
              </w:tabs>
              <w:spacing w:line="240" w:lineRule="auto"/>
              <w:jc w:val="both"/>
              <w:rPr>
                <w:b/>
                <w:bCs/>
                <w:sz w:val="20"/>
                <w:szCs w:val="20"/>
              </w:rPr>
            </w:pPr>
          </w:p>
        </w:tc>
        <w:tc>
          <w:tcPr>
            <w:tcW w:w="2160" w:type="dxa"/>
            <w:vMerge/>
          </w:tcPr>
          <w:p w:rsidR="006357C5" w:rsidRPr="00DC71B4" w:rsidRDefault="006357C5" w:rsidP="002554CF">
            <w:pPr>
              <w:tabs>
                <w:tab w:val="left" w:pos="270"/>
              </w:tabs>
              <w:spacing w:line="240" w:lineRule="auto"/>
              <w:jc w:val="both"/>
              <w:rPr>
                <w:sz w:val="20"/>
                <w:szCs w:val="20"/>
              </w:rPr>
            </w:pPr>
          </w:p>
        </w:tc>
        <w:tc>
          <w:tcPr>
            <w:tcW w:w="2520" w:type="dxa"/>
            <w:gridSpan w:val="2"/>
            <w:vMerge/>
          </w:tcPr>
          <w:p w:rsidR="006357C5" w:rsidRPr="00DC71B4" w:rsidRDefault="006357C5" w:rsidP="002554CF">
            <w:pPr>
              <w:tabs>
                <w:tab w:val="left" w:pos="270"/>
              </w:tabs>
              <w:spacing w:line="240" w:lineRule="auto"/>
              <w:jc w:val="both"/>
              <w:rPr>
                <w:sz w:val="20"/>
                <w:szCs w:val="20"/>
              </w:rPr>
            </w:pPr>
          </w:p>
        </w:tc>
        <w:tc>
          <w:tcPr>
            <w:tcW w:w="2019"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Single (18-19 living away from home)</w:t>
            </w:r>
          </w:p>
        </w:tc>
        <w:tc>
          <w:tcPr>
            <w:tcW w:w="1059"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$167.83</w:t>
            </w:r>
          </w:p>
        </w:tc>
      </w:tr>
      <w:tr w:rsidR="006357C5" w:rsidRPr="00DC71B4" w:rsidTr="002554CF">
        <w:trPr>
          <w:trHeight w:val="294"/>
        </w:trPr>
        <w:tc>
          <w:tcPr>
            <w:tcW w:w="1818" w:type="dxa"/>
            <w:vMerge/>
          </w:tcPr>
          <w:p w:rsidR="006357C5" w:rsidRPr="00DC71B4" w:rsidRDefault="006357C5" w:rsidP="002554CF">
            <w:pPr>
              <w:tabs>
                <w:tab w:val="left" w:pos="270"/>
              </w:tabs>
              <w:spacing w:line="240" w:lineRule="auto"/>
              <w:jc w:val="both"/>
              <w:rPr>
                <w:b/>
                <w:bCs/>
                <w:sz w:val="20"/>
                <w:szCs w:val="20"/>
              </w:rPr>
            </w:pPr>
          </w:p>
        </w:tc>
        <w:tc>
          <w:tcPr>
            <w:tcW w:w="2160" w:type="dxa"/>
            <w:vMerge/>
          </w:tcPr>
          <w:p w:rsidR="006357C5" w:rsidRPr="00DC71B4" w:rsidRDefault="006357C5" w:rsidP="002554CF">
            <w:pPr>
              <w:tabs>
                <w:tab w:val="left" w:pos="270"/>
              </w:tabs>
              <w:spacing w:line="240" w:lineRule="auto"/>
              <w:jc w:val="both"/>
              <w:rPr>
                <w:sz w:val="20"/>
                <w:szCs w:val="20"/>
              </w:rPr>
            </w:pPr>
          </w:p>
        </w:tc>
        <w:tc>
          <w:tcPr>
            <w:tcW w:w="2520" w:type="dxa"/>
            <w:gridSpan w:val="2"/>
            <w:vMerge/>
          </w:tcPr>
          <w:p w:rsidR="006357C5" w:rsidRPr="00DC71B4" w:rsidRDefault="006357C5" w:rsidP="002554CF">
            <w:pPr>
              <w:tabs>
                <w:tab w:val="left" w:pos="270"/>
              </w:tabs>
              <w:spacing w:line="240" w:lineRule="auto"/>
              <w:jc w:val="both"/>
              <w:rPr>
                <w:sz w:val="20"/>
                <w:szCs w:val="20"/>
              </w:rPr>
            </w:pPr>
          </w:p>
        </w:tc>
        <w:tc>
          <w:tcPr>
            <w:tcW w:w="2019"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Single (20-24 years)</w:t>
            </w:r>
          </w:p>
        </w:tc>
        <w:tc>
          <w:tcPr>
            <w:tcW w:w="1059"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$167.83</w:t>
            </w:r>
          </w:p>
        </w:tc>
      </w:tr>
      <w:tr w:rsidR="006357C5" w:rsidRPr="00DC71B4" w:rsidTr="002554CF">
        <w:trPr>
          <w:trHeight w:val="294"/>
        </w:trPr>
        <w:tc>
          <w:tcPr>
            <w:tcW w:w="1818" w:type="dxa"/>
            <w:vMerge/>
          </w:tcPr>
          <w:p w:rsidR="006357C5" w:rsidRPr="00DC71B4" w:rsidRDefault="006357C5" w:rsidP="002554CF">
            <w:pPr>
              <w:tabs>
                <w:tab w:val="left" w:pos="270"/>
              </w:tabs>
              <w:spacing w:line="240" w:lineRule="auto"/>
              <w:jc w:val="both"/>
              <w:rPr>
                <w:b/>
                <w:bCs/>
                <w:sz w:val="20"/>
                <w:szCs w:val="20"/>
              </w:rPr>
            </w:pPr>
          </w:p>
        </w:tc>
        <w:tc>
          <w:tcPr>
            <w:tcW w:w="2160" w:type="dxa"/>
            <w:vMerge/>
          </w:tcPr>
          <w:p w:rsidR="006357C5" w:rsidRPr="00DC71B4" w:rsidRDefault="006357C5" w:rsidP="002554CF">
            <w:pPr>
              <w:tabs>
                <w:tab w:val="left" w:pos="270"/>
              </w:tabs>
              <w:spacing w:line="240" w:lineRule="auto"/>
              <w:jc w:val="both"/>
              <w:rPr>
                <w:sz w:val="20"/>
                <w:szCs w:val="20"/>
              </w:rPr>
            </w:pPr>
          </w:p>
        </w:tc>
        <w:tc>
          <w:tcPr>
            <w:tcW w:w="2520" w:type="dxa"/>
            <w:gridSpan w:val="2"/>
            <w:vMerge/>
          </w:tcPr>
          <w:p w:rsidR="006357C5" w:rsidRPr="00DC71B4" w:rsidRDefault="006357C5" w:rsidP="002554CF">
            <w:pPr>
              <w:tabs>
                <w:tab w:val="left" w:pos="270"/>
              </w:tabs>
              <w:spacing w:line="240" w:lineRule="auto"/>
              <w:jc w:val="both"/>
              <w:rPr>
                <w:sz w:val="20"/>
                <w:szCs w:val="20"/>
              </w:rPr>
            </w:pPr>
          </w:p>
        </w:tc>
        <w:tc>
          <w:tcPr>
            <w:tcW w:w="2019"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Single (25 years or over)</w:t>
            </w:r>
          </w:p>
        </w:tc>
        <w:tc>
          <w:tcPr>
            <w:tcW w:w="1059"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$201.40</w:t>
            </w:r>
          </w:p>
        </w:tc>
      </w:tr>
      <w:tr w:rsidR="006357C5" w:rsidRPr="00DC71B4" w:rsidTr="002554CF">
        <w:trPr>
          <w:trHeight w:val="294"/>
        </w:trPr>
        <w:tc>
          <w:tcPr>
            <w:tcW w:w="1818" w:type="dxa"/>
            <w:vMerge/>
          </w:tcPr>
          <w:p w:rsidR="006357C5" w:rsidRPr="00DC71B4" w:rsidRDefault="006357C5" w:rsidP="002554CF">
            <w:pPr>
              <w:tabs>
                <w:tab w:val="left" w:pos="270"/>
              </w:tabs>
              <w:spacing w:line="240" w:lineRule="auto"/>
              <w:jc w:val="both"/>
              <w:rPr>
                <w:b/>
                <w:bCs/>
                <w:sz w:val="20"/>
                <w:szCs w:val="20"/>
              </w:rPr>
            </w:pPr>
          </w:p>
        </w:tc>
        <w:tc>
          <w:tcPr>
            <w:tcW w:w="2160" w:type="dxa"/>
            <w:vMerge/>
          </w:tcPr>
          <w:p w:rsidR="006357C5" w:rsidRPr="00DC71B4" w:rsidRDefault="006357C5" w:rsidP="002554CF">
            <w:pPr>
              <w:tabs>
                <w:tab w:val="left" w:pos="270"/>
              </w:tabs>
              <w:spacing w:line="240" w:lineRule="auto"/>
              <w:jc w:val="both"/>
              <w:rPr>
                <w:sz w:val="20"/>
                <w:szCs w:val="20"/>
              </w:rPr>
            </w:pPr>
          </w:p>
        </w:tc>
        <w:tc>
          <w:tcPr>
            <w:tcW w:w="2520" w:type="dxa"/>
            <w:gridSpan w:val="2"/>
            <w:vMerge/>
          </w:tcPr>
          <w:p w:rsidR="006357C5" w:rsidRPr="00DC71B4" w:rsidRDefault="006357C5" w:rsidP="002554CF">
            <w:pPr>
              <w:tabs>
                <w:tab w:val="left" w:pos="270"/>
              </w:tabs>
              <w:spacing w:line="240" w:lineRule="auto"/>
              <w:jc w:val="both"/>
              <w:rPr>
                <w:sz w:val="20"/>
                <w:szCs w:val="20"/>
              </w:rPr>
            </w:pPr>
          </w:p>
        </w:tc>
        <w:tc>
          <w:tcPr>
            <w:tcW w:w="2019"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Single with 1 or more children</w:t>
            </w:r>
          </w:p>
        </w:tc>
        <w:tc>
          <w:tcPr>
            <w:tcW w:w="1059"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$288.47</w:t>
            </w:r>
          </w:p>
        </w:tc>
      </w:tr>
      <w:tr w:rsidR="006357C5" w:rsidRPr="00DC71B4" w:rsidTr="002554CF">
        <w:trPr>
          <w:trHeight w:val="294"/>
        </w:trPr>
        <w:tc>
          <w:tcPr>
            <w:tcW w:w="1818" w:type="dxa"/>
            <w:vMerge/>
          </w:tcPr>
          <w:p w:rsidR="006357C5" w:rsidRPr="00DC71B4" w:rsidRDefault="006357C5" w:rsidP="002554CF">
            <w:pPr>
              <w:tabs>
                <w:tab w:val="left" w:pos="270"/>
              </w:tabs>
              <w:spacing w:line="240" w:lineRule="auto"/>
              <w:jc w:val="both"/>
              <w:rPr>
                <w:b/>
                <w:bCs/>
                <w:sz w:val="20"/>
                <w:szCs w:val="20"/>
              </w:rPr>
            </w:pPr>
          </w:p>
        </w:tc>
        <w:tc>
          <w:tcPr>
            <w:tcW w:w="2160" w:type="dxa"/>
            <w:vMerge/>
          </w:tcPr>
          <w:p w:rsidR="006357C5" w:rsidRPr="00DC71B4" w:rsidRDefault="006357C5" w:rsidP="002554CF">
            <w:pPr>
              <w:tabs>
                <w:tab w:val="left" w:pos="270"/>
              </w:tabs>
              <w:spacing w:line="240" w:lineRule="auto"/>
              <w:jc w:val="both"/>
              <w:rPr>
                <w:sz w:val="20"/>
                <w:szCs w:val="20"/>
              </w:rPr>
            </w:pPr>
          </w:p>
        </w:tc>
        <w:tc>
          <w:tcPr>
            <w:tcW w:w="2520" w:type="dxa"/>
            <w:gridSpan w:val="2"/>
            <w:vMerge/>
          </w:tcPr>
          <w:p w:rsidR="006357C5" w:rsidRPr="00DC71B4" w:rsidRDefault="006357C5" w:rsidP="002554CF">
            <w:pPr>
              <w:tabs>
                <w:tab w:val="left" w:pos="270"/>
              </w:tabs>
              <w:spacing w:line="240" w:lineRule="auto"/>
              <w:jc w:val="both"/>
              <w:rPr>
                <w:sz w:val="20"/>
                <w:szCs w:val="20"/>
              </w:rPr>
            </w:pPr>
          </w:p>
        </w:tc>
        <w:tc>
          <w:tcPr>
            <w:tcW w:w="2019"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Married or civil union</w:t>
            </w:r>
          </w:p>
        </w:tc>
        <w:tc>
          <w:tcPr>
            <w:tcW w:w="1059"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$167.83 each</w:t>
            </w:r>
          </w:p>
        </w:tc>
      </w:tr>
      <w:tr w:rsidR="006357C5" w:rsidRPr="00DC71B4" w:rsidTr="002554CF">
        <w:tc>
          <w:tcPr>
            <w:tcW w:w="1818" w:type="dxa"/>
          </w:tcPr>
          <w:p w:rsidR="006357C5" w:rsidRPr="00DC71B4" w:rsidRDefault="006357C5" w:rsidP="002554CF">
            <w:pPr>
              <w:tabs>
                <w:tab w:val="left" w:pos="270"/>
              </w:tabs>
              <w:spacing w:line="240" w:lineRule="auto"/>
              <w:rPr>
                <w:b/>
                <w:bCs/>
                <w:sz w:val="20"/>
                <w:szCs w:val="20"/>
              </w:rPr>
            </w:pPr>
            <w:r w:rsidRPr="00DC71B4">
              <w:rPr>
                <w:rFonts w:ascii="Cambria" w:hAnsi="Cambria" w:cs="Times New Roman"/>
                <w:b/>
                <w:bCs/>
                <w:sz w:val="20"/>
                <w:szCs w:val="20"/>
              </w:rPr>
              <w:t>Accommodation Supplement</w:t>
            </w:r>
          </w:p>
        </w:tc>
        <w:tc>
          <w:tcPr>
            <w:tcW w:w="21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Grant to help with costs of renting, boarding or owning a home</w:t>
            </w:r>
          </w:p>
        </w:tc>
        <w:tc>
          <w:tcPr>
            <w:tcW w:w="2520"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Low income or</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UBSH recipient or</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Another benefit (not the Student Allowance)</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Assets ≤ $8,100 (single) or $16,200 (in a relationship or single parent)</w:t>
            </w:r>
          </w:p>
        </w:tc>
        <w:tc>
          <w:tcPr>
            <w:tcW w:w="3078"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lastRenderedPageBreak/>
              <w:t>Depends on age, civil union, residence, family dependence, and country region</w:t>
            </w:r>
          </w:p>
        </w:tc>
      </w:tr>
      <w:tr w:rsidR="006357C5" w:rsidRPr="00DC71B4" w:rsidTr="002554CF">
        <w:tc>
          <w:tcPr>
            <w:tcW w:w="1818" w:type="dxa"/>
          </w:tcPr>
          <w:p w:rsidR="006357C5" w:rsidRPr="00DC71B4" w:rsidRDefault="006357C5" w:rsidP="002554CF">
            <w:pPr>
              <w:tabs>
                <w:tab w:val="left" w:pos="270"/>
              </w:tabs>
              <w:spacing w:line="240" w:lineRule="auto"/>
              <w:rPr>
                <w:b/>
                <w:bCs/>
                <w:sz w:val="20"/>
                <w:szCs w:val="20"/>
              </w:rPr>
            </w:pPr>
            <w:r w:rsidRPr="00DC71B4">
              <w:rPr>
                <w:rFonts w:ascii="Cambria" w:hAnsi="Cambria" w:cs="Times New Roman"/>
                <w:b/>
                <w:bCs/>
                <w:sz w:val="20"/>
                <w:szCs w:val="20"/>
              </w:rPr>
              <w:lastRenderedPageBreak/>
              <w:t>Chidcare Subsidy</w:t>
            </w:r>
          </w:p>
        </w:tc>
        <w:tc>
          <w:tcPr>
            <w:tcW w:w="21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Help with costs of childcare during studies for children under 5 or 6 years of age</w:t>
            </w:r>
          </w:p>
        </w:tc>
        <w:tc>
          <w:tcPr>
            <w:tcW w:w="2520"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Students with children enrolled in an approved course</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Attendance to childcare or pre-school service at least 3 hours/week</w:t>
            </w:r>
          </w:p>
        </w:tc>
        <w:tc>
          <w:tcPr>
            <w:tcW w:w="3078"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Depends on income and number of children</w:t>
            </w:r>
          </w:p>
        </w:tc>
      </w:tr>
      <w:tr w:rsidR="006357C5" w:rsidRPr="00DC71B4" w:rsidTr="002554CF">
        <w:tc>
          <w:tcPr>
            <w:tcW w:w="1818" w:type="dxa"/>
          </w:tcPr>
          <w:p w:rsidR="006357C5" w:rsidRPr="00DC71B4" w:rsidRDefault="006357C5" w:rsidP="002554CF">
            <w:pPr>
              <w:tabs>
                <w:tab w:val="left" w:pos="270"/>
              </w:tabs>
              <w:spacing w:line="240" w:lineRule="auto"/>
              <w:rPr>
                <w:b/>
                <w:bCs/>
                <w:sz w:val="20"/>
                <w:szCs w:val="20"/>
              </w:rPr>
            </w:pPr>
            <w:r w:rsidRPr="00DC71B4">
              <w:rPr>
                <w:rFonts w:ascii="Cambria" w:hAnsi="Cambria" w:cs="Times New Roman"/>
                <w:b/>
                <w:bCs/>
                <w:sz w:val="20"/>
                <w:szCs w:val="20"/>
              </w:rPr>
              <w:t>Out of School Care and Recreation (OSCAR)</w:t>
            </w:r>
          </w:p>
        </w:tc>
        <w:tc>
          <w:tcPr>
            <w:tcW w:w="21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Help with before and after school care, and care during school holidays</w:t>
            </w:r>
          </w:p>
        </w:tc>
        <w:tc>
          <w:tcPr>
            <w:tcW w:w="2520"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Children 5-13 years of age</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Partner working or studying</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Attendance to program at least 3 hours/week</w:t>
            </w:r>
          </w:p>
        </w:tc>
        <w:tc>
          <w:tcPr>
            <w:tcW w:w="3078"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Depends on income and number of children</w:t>
            </w:r>
          </w:p>
        </w:tc>
      </w:tr>
      <w:tr w:rsidR="006357C5" w:rsidRPr="00DC71B4" w:rsidTr="002554CF">
        <w:trPr>
          <w:trHeight w:val="142"/>
        </w:trPr>
        <w:tc>
          <w:tcPr>
            <w:tcW w:w="1818" w:type="dxa"/>
            <w:vMerge w:val="restart"/>
          </w:tcPr>
          <w:p w:rsidR="006357C5" w:rsidRPr="00DC71B4" w:rsidRDefault="006357C5" w:rsidP="002554CF">
            <w:pPr>
              <w:tabs>
                <w:tab w:val="left" w:pos="270"/>
              </w:tabs>
              <w:spacing w:line="240" w:lineRule="auto"/>
              <w:rPr>
                <w:b/>
                <w:bCs/>
                <w:sz w:val="20"/>
                <w:szCs w:val="20"/>
              </w:rPr>
            </w:pPr>
            <w:r w:rsidRPr="00DC71B4">
              <w:rPr>
                <w:rFonts w:ascii="Cambria" w:hAnsi="Cambria" w:cs="Times New Roman"/>
                <w:b/>
                <w:bCs/>
                <w:sz w:val="20"/>
                <w:szCs w:val="20"/>
              </w:rPr>
              <w:t>Disability Allowance and Child Disability Allowance</w:t>
            </w:r>
          </w:p>
        </w:tc>
        <w:tc>
          <w:tcPr>
            <w:tcW w:w="2160" w:type="dxa"/>
            <w:vMerge w:val="restart"/>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Help with costs such as ongoing visits to doctor, medicine, extra clothing and travel</w:t>
            </w:r>
          </w:p>
        </w:tc>
        <w:tc>
          <w:tcPr>
            <w:tcW w:w="2520"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Weekly income &lt; than:</w:t>
            </w:r>
          </w:p>
        </w:tc>
        <w:tc>
          <w:tcPr>
            <w:tcW w:w="3078" w:type="dxa"/>
            <w:gridSpan w:val="2"/>
            <w:vMerge w:val="restart"/>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Depends on individual costs</w:t>
            </w:r>
          </w:p>
        </w:tc>
      </w:tr>
      <w:tr w:rsidR="006357C5" w:rsidRPr="00DC71B4" w:rsidTr="002554CF">
        <w:trPr>
          <w:trHeight w:val="138"/>
        </w:trPr>
        <w:tc>
          <w:tcPr>
            <w:tcW w:w="1818" w:type="dxa"/>
            <w:vMerge/>
          </w:tcPr>
          <w:p w:rsidR="006357C5" w:rsidRPr="00DC71B4" w:rsidRDefault="006357C5" w:rsidP="002554CF">
            <w:pPr>
              <w:tabs>
                <w:tab w:val="left" w:pos="270"/>
              </w:tabs>
              <w:spacing w:line="240" w:lineRule="auto"/>
              <w:rPr>
                <w:b/>
                <w:bCs/>
                <w:sz w:val="20"/>
                <w:szCs w:val="20"/>
              </w:rPr>
            </w:pPr>
          </w:p>
        </w:tc>
        <w:tc>
          <w:tcPr>
            <w:tcW w:w="2160" w:type="dxa"/>
            <w:vMerge/>
          </w:tcPr>
          <w:p w:rsidR="006357C5" w:rsidRPr="00DC71B4" w:rsidRDefault="006357C5" w:rsidP="002554CF">
            <w:pPr>
              <w:tabs>
                <w:tab w:val="left" w:pos="270"/>
              </w:tabs>
              <w:spacing w:line="240" w:lineRule="auto"/>
              <w:rPr>
                <w:sz w:val="20"/>
                <w:szCs w:val="20"/>
              </w:rPr>
            </w:pP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Single (under 18) with no children</w:t>
            </w: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$497.21</w:t>
            </w:r>
          </w:p>
        </w:tc>
        <w:tc>
          <w:tcPr>
            <w:tcW w:w="3078" w:type="dxa"/>
            <w:gridSpan w:val="2"/>
            <w:vMerge/>
          </w:tcPr>
          <w:p w:rsidR="006357C5" w:rsidRPr="00DC71B4" w:rsidRDefault="006357C5" w:rsidP="002554CF">
            <w:pPr>
              <w:tabs>
                <w:tab w:val="left" w:pos="270"/>
              </w:tabs>
              <w:spacing w:line="240" w:lineRule="auto"/>
              <w:jc w:val="both"/>
              <w:rPr>
                <w:sz w:val="20"/>
                <w:szCs w:val="20"/>
              </w:rPr>
            </w:pPr>
          </w:p>
        </w:tc>
      </w:tr>
      <w:tr w:rsidR="006357C5" w:rsidRPr="00DC71B4" w:rsidTr="002554CF">
        <w:trPr>
          <w:trHeight w:val="138"/>
        </w:trPr>
        <w:tc>
          <w:tcPr>
            <w:tcW w:w="1818" w:type="dxa"/>
            <w:vMerge/>
          </w:tcPr>
          <w:p w:rsidR="006357C5" w:rsidRPr="00DC71B4" w:rsidRDefault="006357C5" w:rsidP="002554CF">
            <w:pPr>
              <w:tabs>
                <w:tab w:val="left" w:pos="270"/>
              </w:tabs>
              <w:spacing w:line="240" w:lineRule="auto"/>
              <w:rPr>
                <w:b/>
                <w:bCs/>
                <w:sz w:val="20"/>
                <w:szCs w:val="20"/>
              </w:rPr>
            </w:pPr>
          </w:p>
        </w:tc>
        <w:tc>
          <w:tcPr>
            <w:tcW w:w="2160" w:type="dxa"/>
            <w:vMerge/>
          </w:tcPr>
          <w:p w:rsidR="006357C5" w:rsidRPr="00DC71B4" w:rsidRDefault="006357C5" w:rsidP="002554CF">
            <w:pPr>
              <w:tabs>
                <w:tab w:val="left" w:pos="270"/>
              </w:tabs>
              <w:spacing w:line="240" w:lineRule="auto"/>
              <w:rPr>
                <w:sz w:val="20"/>
                <w:szCs w:val="20"/>
              </w:rPr>
            </w:pP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Single (18 or over) with no children</w:t>
            </w: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$575.48</w:t>
            </w:r>
          </w:p>
        </w:tc>
        <w:tc>
          <w:tcPr>
            <w:tcW w:w="3078" w:type="dxa"/>
            <w:gridSpan w:val="2"/>
            <w:vMerge/>
          </w:tcPr>
          <w:p w:rsidR="006357C5" w:rsidRPr="00DC71B4" w:rsidRDefault="006357C5" w:rsidP="002554CF">
            <w:pPr>
              <w:tabs>
                <w:tab w:val="left" w:pos="270"/>
              </w:tabs>
              <w:spacing w:line="240" w:lineRule="auto"/>
              <w:jc w:val="both"/>
              <w:rPr>
                <w:sz w:val="20"/>
                <w:szCs w:val="20"/>
              </w:rPr>
            </w:pPr>
          </w:p>
        </w:tc>
      </w:tr>
      <w:tr w:rsidR="006357C5" w:rsidRPr="00DC71B4" w:rsidTr="002554CF">
        <w:trPr>
          <w:trHeight w:val="138"/>
        </w:trPr>
        <w:tc>
          <w:tcPr>
            <w:tcW w:w="1818" w:type="dxa"/>
            <w:vMerge/>
          </w:tcPr>
          <w:p w:rsidR="006357C5" w:rsidRPr="00DC71B4" w:rsidRDefault="006357C5" w:rsidP="002554CF">
            <w:pPr>
              <w:tabs>
                <w:tab w:val="left" w:pos="270"/>
              </w:tabs>
              <w:spacing w:line="240" w:lineRule="auto"/>
              <w:rPr>
                <w:b/>
                <w:bCs/>
                <w:sz w:val="20"/>
                <w:szCs w:val="20"/>
              </w:rPr>
            </w:pPr>
          </w:p>
        </w:tc>
        <w:tc>
          <w:tcPr>
            <w:tcW w:w="2160" w:type="dxa"/>
            <w:vMerge/>
          </w:tcPr>
          <w:p w:rsidR="006357C5" w:rsidRPr="00DC71B4" w:rsidRDefault="006357C5" w:rsidP="002554CF">
            <w:pPr>
              <w:tabs>
                <w:tab w:val="left" w:pos="270"/>
              </w:tabs>
              <w:spacing w:line="240" w:lineRule="auto"/>
              <w:rPr>
                <w:sz w:val="20"/>
                <w:szCs w:val="20"/>
              </w:rPr>
            </w:pP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 xml:space="preserve">Couple </w:t>
            </w: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$851.83</w:t>
            </w:r>
          </w:p>
        </w:tc>
        <w:tc>
          <w:tcPr>
            <w:tcW w:w="3078" w:type="dxa"/>
            <w:gridSpan w:val="2"/>
            <w:vMerge/>
          </w:tcPr>
          <w:p w:rsidR="006357C5" w:rsidRPr="00DC71B4" w:rsidRDefault="006357C5" w:rsidP="002554CF">
            <w:pPr>
              <w:tabs>
                <w:tab w:val="left" w:pos="270"/>
              </w:tabs>
              <w:spacing w:line="240" w:lineRule="auto"/>
              <w:jc w:val="both"/>
              <w:rPr>
                <w:sz w:val="20"/>
                <w:szCs w:val="20"/>
              </w:rPr>
            </w:pPr>
          </w:p>
        </w:tc>
      </w:tr>
      <w:tr w:rsidR="006357C5" w:rsidRPr="00DC71B4" w:rsidTr="002554CF">
        <w:trPr>
          <w:trHeight w:val="138"/>
        </w:trPr>
        <w:tc>
          <w:tcPr>
            <w:tcW w:w="1818" w:type="dxa"/>
            <w:vMerge/>
          </w:tcPr>
          <w:p w:rsidR="006357C5" w:rsidRPr="00DC71B4" w:rsidRDefault="006357C5" w:rsidP="002554CF">
            <w:pPr>
              <w:tabs>
                <w:tab w:val="left" w:pos="270"/>
              </w:tabs>
              <w:spacing w:line="240" w:lineRule="auto"/>
              <w:rPr>
                <w:b/>
                <w:bCs/>
                <w:sz w:val="20"/>
                <w:szCs w:val="20"/>
              </w:rPr>
            </w:pPr>
          </w:p>
        </w:tc>
        <w:tc>
          <w:tcPr>
            <w:tcW w:w="2160" w:type="dxa"/>
            <w:vMerge/>
          </w:tcPr>
          <w:p w:rsidR="006357C5" w:rsidRPr="00DC71B4" w:rsidRDefault="006357C5" w:rsidP="002554CF">
            <w:pPr>
              <w:tabs>
                <w:tab w:val="left" w:pos="270"/>
              </w:tabs>
              <w:spacing w:line="240" w:lineRule="auto"/>
              <w:rPr>
                <w:sz w:val="20"/>
                <w:szCs w:val="20"/>
              </w:rPr>
            </w:pP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Single with 1 child</w:t>
            </w: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$693.45</w:t>
            </w:r>
          </w:p>
        </w:tc>
        <w:tc>
          <w:tcPr>
            <w:tcW w:w="3078" w:type="dxa"/>
            <w:gridSpan w:val="2"/>
            <w:vMerge/>
          </w:tcPr>
          <w:p w:rsidR="006357C5" w:rsidRPr="00DC71B4" w:rsidRDefault="006357C5" w:rsidP="002554CF">
            <w:pPr>
              <w:tabs>
                <w:tab w:val="left" w:pos="270"/>
              </w:tabs>
              <w:spacing w:line="240" w:lineRule="auto"/>
              <w:jc w:val="both"/>
              <w:rPr>
                <w:sz w:val="20"/>
                <w:szCs w:val="20"/>
              </w:rPr>
            </w:pPr>
          </w:p>
        </w:tc>
      </w:tr>
      <w:tr w:rsidR="006357C5" w:rsidRPr="00DC71B4" w:rsidTr="002554CF">
        <w:trPr>
          <w:trHeight w:val="138"/>
        </w:trPr>
        <w:tc>
          <w:tcPr>
            <w:tcW w:w="1818" w:type="dxa"/>
            <w:vMerge/>
          </w:tcPr>
          <w:p w:rsidR="006357C5" w:rsidRPr="00DC71B4" w:rsidRDefault="006357C5" w:rsidP="002554CF">
            <w:pPr>
              <w:tabs>
                <w:tab w:val="left" w:pos="270"/>
              </w:tabs>
              <w:spacing w:line="240" w:lineRule="auto"/>
              <w:rPr>
                <w:b/>
                <w:bCs/>
                <w:sz w:val="20"/>
                <w:szCs w:val="20"/>
              </w:rPr>
            </w:pPr>
          </w:p>
        </w:tc>
        <w:tc>
          <w:tcPr>
            <w:tcW w:w="2160" w:type="dxa"/>
            <w:vMerge/>
          </w:tcPr>
          <w:p w:rsidR="006357C5" w:rsidRPr="00DC71B4" w:rsidRDefault="006357C5" w:rsidP="002554CF">
            <w:pPr>
              <w:tabs>
                <w:tab w:val="left" w:pos="270"/>
              </w:tabs>
              <w:spacing w:line="240" w:lineRule="auto"/>
              <w:rPr>
                <w:sz w:val="20"/>
                <w:szCs w:val="20"/>
              </w:rPr>
            </w:pP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Single with 2 or more children</w:t>
            </w: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$730.60</w:t>
            </w:r>
          </w:p>
        </w:tc>
        <w:tc>
          <w:tcPr>
            <w:tcW w:w="3078" w:type="dxa"/>
            <w:gridSpan w:val="2"/>
            <w:vMerge/>
          </w:tcPr>
          <w:p w:rsidR="006357C5" w:rsidRPr="00DC71B4" w:rsidRDefault="006357C5" w:rsidP="002554CF">
            <w:pPr>
              <w:tabs>
                <w:tab w:val="left" w:pos="270"/>
              </w:tabs>
              <w:spacing w:line="240" w:lineRule="auto"/>
              <w:jc w:val="both"/>
              <w:rPr>
                <w:sz w:val="20"/>
                <w:szCs w:val="20"/>
              </w:rPr>
            </w:pPr>
          </w:p>
        </w:tc>
      </w:tr>
      <w:tr w:rsidR="006357C5" w:rsidRPr="00DC71B4" w:rsidTr="002554CF">
        <w:tc>
          <w:tcPr>
            <w:tcW w:w="1818" w:type="dxa"/>
          </w:tcPr>
          <w:p w:rsidR="006357C5" w:rsidRPr="00DC71B4" w:rsidRDefault="006357C5" w:rsidP="002554CF">
            <w:pPr>
              <w:tabs>
                <w:tab w:val="left" w:pos="270"/>
              </w:tabs>
              <w:spacing w:line="240" w:lineRule="auto"/>
              <w:rPr>
                <w:b/>
                <w:bCs/>
                <w:sz w:val="20"/>
                <w:szCs w:val="20"/>
              </w:rPr>
            </w:pPr>
            <w:r w:rsidRPr="00DC71B4">
              <w:rPr>
                <w:rFonts w:ascii="Cambria" w:hAnsi="Cambria" w:cs="Times New Roman"/>
                <w:b/>
                <w:bCs/>
                <w:sz w:val="20"/>
                <w:szCs w:val="20"/>
              </w:rPr>
              <w:t>Emergency Grants (Special Needs Grant and Recoverable Assistance Payment)</w:t>
            </w:r>
          </w:p>
        </w:tc>
        <w:tc>
          <w:tcPr>
            <w:tcW w:w="21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Help in a range of emergency situations</w:t>
            </w:r>
          </w:p>
        </w:tc>
        <w:tc>
          <w:tcPr>
            <w:tcW w:w="2520"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Varies</w:t>
            </w:r>
          </w:p>
        </w:tc>
        <w:tc>
          <w:tcPr>
            <w:tcW w:w="3078"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 xml:space="preserve">Varies </w:t>
            </w:r>
          </w:p>
        </w:tc>
      </w:tr>
      <w:tr w:rsidR="006357C5" w:rsidRPr="00DC71B4" w:rsidTr="002554CF">
        <w:trPr>
          <w:trHeight w:val="151"/>
        </w:trPr>
        <w:tc>
          <w:tcPr>
            <w:tcW w:w="1818" w:type="dxa"/>
            <w:vMerge w:val="restart"/>
          </w:tcPr>
          <w:p w:rsidR="006357C5" w:rsidRPr="00DC71B4" w:rsidRDefault="006357C5" w:rsidP="002554CF">
            <w:pPr>
              <w:tabs>
                <w:tab w:val="left" w:pos="270"/>
              </w:tabs>
              <w:spacing w:line="240" w:lineRule="auto"/>
              <w:rPr>
                <w:b/>
                <w:bCs/>
                <w:sz w:val="20"/>
                <w:szCs w:val="20"/>
              </w:rPr>
            </w:pPr>
            <w:r w:rsidRPr="00DC71B4">
              <w:rPr>
                <w:rFonts w:ascii="Cambria" w:hAnsi="Cambria" w:cs="Times New Roman"/>
                <w:b/>
                <w:bCs/>
                <w:sz w:val="20"/>
                <w:szCs w:val="20"/>
              </w:rPr>
              <w:t>Community Services Card, Pharmaceutical Subsidy Card and High use Health Card</w:t>
            </w:r>
          </w:p>
        </w:tc>
        <w:tc>
          <w:tcPr>
            <w:tcW w:w="2160" w:type="dxa"/>
            <w:vMerge w:val="restart"/>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Help with costs of visiting doctor and getting prescriptions</w:t>
            </w:r>
          </w:p>
        </w:tc>
        <w:tc>
          <w:tcPr>
            <w:tcW w:w="2520"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UBSH recipient or</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Student Allowance recipient</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Gross yearly income:</w:t>
            </w:r>
          </w:p>
        </w:tc>
        <w:tc>
          <w:tcPr>
            <w:tcW w:w="3078" w:type="dxa"/>
            <w:gridSpan w:val="2"/>
            <w:vMerge w:val="restart"/>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Varies</w:t>
            </w:r>
          </w:p>
        </w:tc>
      </w:tr>
      <w:tr w:rsidR="006357C5" w:rsidRPr="00DC71B4" w:rsidTr="002554CF">
        <w:trPr>
          <w:trHeight w:val="145"/>
        </w:trPr>
        <w:tc>
          <w:tcPr>
            <w:tcW w:w="1818" w:type="dxa"/>
            <w:vMerge/>
          </w:tcPr>
          <w:p w:rsidR="006357C5" w:rsidRPr="00DC71B4" w:rsidRDefault="006357C5" w:rsidP="002554CF">
            <w:pPr>
              <w:tabs>
                <w:tab w:val="left" w:pos="270"/>
              </w:tabs>
              <w:spacing w:line="240" w:lineRule="auto"/>
              <w:rPr>
                <w:b/>
                <w:bCs/>
                <w:sz w:val="20"/>
                <w:szCs w:val="20"/>
              </w:rPr>
            </w:pPr>
          </w:p>
        </w:tc>
        <w:tc>
          <w:tcPr>
            <w:tcW w:w="2160" w:type="dxa"/>
            <w:vMerge/>
          </w:tcPr>
          <w:p w:rsidR="006357C5" w:rsidRPr="00DC71B4" w:rsidRDefault="006357C5" w:rsidP="002554CF">
            <w:pPr>
              <w:tabs>
                <w:tab w:val="left" w:pos="270"/>
              </w:tabs>
              <w:spacing w:line="240" w:lineRule="auto"/>
              <w:rPr>
                <w:sz w:val="20"/>
                <w:szCs w:val="20"/>
              </w:rPr>
            </w:pP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Single in shared accommodation</w:t>
            </w: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 $24,461</w:t>
            </w:r>
          </w:p>
        </w:tc>
        <w:tc>
          <w:tcPr>
            <w:tcW w:w="3078" w:type="dxa"/>
            <w:gridSpan w:val="2"/>
            <w:vMerge/>
          </w:tcPr>
          <w:p w:rsidR="006357C5" w:rsidRPr="00DC71B4" w:rsidRDefault="006357C5" w:rsidP="002554CF">
            <w:pPr>
              <w:tabs>
                <w:tab w:val="left" w:pos="270"/>
              </w:tabs>
              <w:spacing w:line="240" w:lineRule="auto"/>
              <w:rPr>
                <w:sz w:val="20"/>
                <w:szCs w:val="20"/>
              </w:rPr>
            </w:pPr>
          </w:p>
        </w:tc>
      </w:tr>
      <w:tr w:rsidR="006357C5" w:rsidRPr="00DC71B4" w:rsidTr="002554CF">
        <w:trPr>
          <w:trHeight w:val="145"/>
        </w:trPr>
        <w:tc>
          <w:tcPr>
            <w:tcW w:w="1818" w:type="dxa"/>
            <w:vMerge/>
          </w:tcPr>
          <w:p w:rsidR="006357C5" w:rsidRPr="00DC71B4" w:rsidRDefault="006357C5" w:rsidP="002554CF">
            <w:pPr>
              <w:tabs>
                <w:tab w:val="left" w:pos="270"/>
              </w:tabs>
              <w:spacing w:line="240" w:lineRule="auto"/>
              <w:rPr>
                <w:b/>
                <w:bCs/>
                <w:sz w:val="20"/>
                <w:szCs w:val="20"/>
              </w:rPr>
            </w:pPr>
          </w:p>
        </w:tc>
        <w:tc>
          <w:tcPr>
            <w:tcW w:w="2160" w:type="dxa"/>
            <w:vMerge/>
          </w:tcPr>
          <w:p w:rsidR="006357C5" w:rsidRPr="00DC71B4" w:rsidRDefault="006357C5" w:rsidP="002554CF">
            <w:pPr>
              <w:tabs>
                <w:tab w:val="left" w:pos="270"/>
              </w:tabs>
              <w:spacing w:line="240" w:lineRule="auto"/>
              <w:rPr>
                <w:sz w:val="20"/>
                <w:szCs w:val="20"/>
              </w:rPr>
            </w:pP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Single living alone</w:t>
            </w: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 $25,933</w:t>
            </w:r>
          </w:p>
        </w:tc>
        <w:tc>
          <w:tcPr>
            <w:tcW w:w="3078" w:type="dxa"/>
            <w:gridSpan w:val="2"/>
            <w:vMerge/>
          </w:tcPr>
          <w:p w:rsidR="006357C5" w:rsidRPr="00DC71B4" w:rsidRDefault="006357C5" w:rsidP="002554CF">
            <w:pPr>
              <w:tabs>
                <w:tab w:val="left" w:pos="270"/>
              </w:tabs>
              <w:spacing w:line="240" w:lineRule="auto"/>
              <w:rPr>
                <w:sz w:val="20"/>
                <w:szCs w:val="20"/>
              </w:rPr>
            </w:pPr>
          </w:p>
        </w:tc>
      </w:tr>
      <w:tr w:rsidR="006357C5" w:rsidRPr="00DC71B4" w:rsidTr="002554CF">
        <w:trPr>
          <w:trHeight w:val="145"/>
        </w:trPr>
        <w:tc>
          <w:tcPr>
            <w:tcW w:w="1818" w:type="dxa"/>
            <w:vMerge/>
          </w:tcPr>
          <w:p w:rsidR="006357C5" w:rsidRPr="00DC71B4" w:rsidRDefault="006357C5" w:rsidP="002554CF">
            <w:pPr>
              <w:tabs>
                <w:tab w:val="left" w:pos="270"/>
              </w:tabs>
              <w:spacing w:line="240" w:lineRule="auto"/>
              <w:rPr>
                <w:b/>
                <w:bCs/>
                <w:sz w:val="20"/>
                <w:szCs w:val="20"/>
              </w:rPr>
            </w:pPr>
          </w:p>
        </w:tc>
        <w:tc>
          <w:tcPr>
            <w:tcW w:w="2160" w:type="dxa"/>
            <w:vMerge/>
          </w:tcPr>
          <w:p w:rsidR="006357C5" w:rsidRPr="00DC71B4" w:rsidRDefault="006357C5" w:rsidP="002554CF">
            <w:pPr>
              <w:tabs>
                <w:tab w:val="left" w:pos="270"/>
              </w:tabs>
              <w:spacing w:line="240" w:lineRule="auto"/>
              <w:rPr>
                <w:sz w:val="20"/>
                <w:szCs w:val="20"/>
              </w:rPr>
            </w:pP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Couple with no children</w:t>
            </w: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 $38,737</w:t>
            </w:r>
          </w:p>
        </w:tc>
        <w:tc>
          <w:tcPr>
            <w:tcW w:w="3078" w:type="dxa"/>
            <w:gridSpan w:val="2"/>
            <w:vMerge/>
          </w:tcPr>
          <w:p w:rsidR="006357C5" w:rsidRPr="00DC71B4" w:rsidRDefault="006357C5" w:rsidP="002554CF">
            <w:pPr>
              <w:tabs>
                <w:tab w:val="left" w:pos="270"/>
              </w:tabs>
              <w:spacing w:line="240" w:lineRule="auto"/>
              <w:rPr>
                <w:sz w:val="20"/>
                <w:szCs w:val="20"/>
              </w:rPr>
            </w:pPr>
          </w:p>
        </w:tc>
      </w:tr>
      <w:tr w:rsidR="006357C5" w:rsidRPr="00DC71B4" w:rsidTr="002554CF">
        <w:trPr>
          <w:trHeight w:val="145"/>
        </w:trPr>
        <w:tc>
          <w:tcPr>
            <w:tcW w:w="1818" w:type="dxa"/>
            <w:vMerge/>
          </w:tcPr>
          <w:p w:rsidR="006357C5" w:rsidRPr="00DC71B4" w:rsidRDefault="006357C5" w:rsidP="002554CF">
            <w:pPr>
              <w:tabs>
                <w:tab w:val="left" w:pos="270"/>
              </w:tabs>
              <w:spacing w:line="240" w:lineRule="auto"/>
              <w:rPr>
                <w:b/>
                <w:bCs/>
                <w:sz w:val="20"/>
                <w:szCs w:val="20"/>
              </w:rPr>
            </w:pPr>
          </w:p>
        </w:tc>
        <w:tc>
          <w:tcPr>
            <w:tcW w:w="2160" w:type="dxa"/>
            <w:vMerge/>
          </w:tcPr>
          <w:p w:rsidR="006357C5" w:rsidRPr="00DC71B4" w:rsidRDefault="006357C5" w:rsidP="002554CF">
            <w:pPr>
              <w:tabs>
                <w:tab w:val="left" w:pos="270"/>
              </w:tabs>
              <w:spacing w:line="240" w:lineRule="auto"/>
              <w:rPr>
                <w:sz w:val="20"/>
                <w:szCs w:val="20"/>
              </w:rPr>
            </w:pP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Family of 2</w:t>
            </w: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 $46,769</w:t>
            </w:r>
          </w:p>
        </w:tc>
        <w:tc>
          <w:tcPr>
            <w:tcW w:w="3078" w:type="dxa"/>
            <w:gridSpan w:val="2"/>
            <w:vMerge/>
          </w:tcPr>
          <w:p w:rsidR="006357C5" w:rsidRPr="00DC71B4" w:rsidRDefault="006357C5" w:rsidP="002554CF">
            <w:pPr>
              <w:tabs>
                <w:tab w:val="left" w:pos="270"/>
              </w:tabs>
              <w:spacing w:line="240" w:lineRule="auto"/>
              <w:rPr>
                <w:sz w:val="20"/>
                <w:szCs w:val="20"/>
              </w:rPr>
            </w:pPr>
          </w:p>
        </w:tc>
      </w:tr>
      <w:tr w:rsidR="006357C5" w:rsidRPr="00DC71B4" w:rsidTr="002554CF">
        <w:trPr>
          <w:trHeight w:val="145"/>
        </w:trPr>
        <w:tc>
          <w:tcPr>
            <w:tcW w:w="1818" w:type="dxa"/>
            <w:vMerge/>
          </w:tcPr>
          <w:p w:rsidR="006357C5" w:rsidRPr="00DC71B4" w:rsidRDefault="006357C5" w:rsidP="002554CF">
            <w:pPr>
              <w:tabs>
                <w:tab w:val="left" w:pos="270"/>
              </w:tabs>
              <w:spacing w:line="240" w:lineRule="auto"/>
              <w:rPr>
                <w:b/>
                <w:bCs/>
                <w:sz w:val="20"/>
                <w:szCs w:val="20"/>
              </w:rPr>
            </w:pPr>
          </w:p>
        </w:tc>
        <w:tc>
          <w:tcPr>
            <w:tcW w:w="2160" w:type="dxa"/>
            <w:vMerge/>
          </w:tcPr>
          <w:p w:rsidR="006357C5" w:rsidRPr="00DC71B4" w:rsidRDefault="006357C5" w:rsidP="002554CF">
            <w:pPr>
              <w:tabs>
                <w:tab w:val="left" w:pos="270"/>
              </w:tabs>
              <w:spacing w:line="240" w:lineRule="auto"/>
              <w:rPr>
                <w:sz w:val="20"/>
                <w:szCs w:val="20"/>
              </w:rPr>
            </w:pP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Family of 3</w:t>
            </w: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 56,637</w:t>
            </w:r>
          </w:p>
        </w:tc>
        <w:tc>
          <w:tcPr>
            <w:tcW w:w="3078" w:type="dxa"/>
            <w:gridSpan w:val="2"/>
            <w:vMerge/>
          </w:tcPr>
          <w:p w:rsidR="006357C5" w:rsidRPr="00DC71B4" w:rsidRDefault="006357C5" w:rsidP="002554CF">
            <w:pPr>
              <w:tabs>
                <w:tab w:val="left" w:pos="270"/>
              </w:tabs>
              <w:spacing w:line="240" w:lineRule="auto"/>
              <w:rPr>
                <w:sz w:val="20"/>
                <w:szCs w:val="20"/>
              </w:rPr>
            </w:pPr>
          </w:p>
        </w:tc>
      </w:tr>
      <w:tr w:rsidR="006357C5" w:rsidRPr="00DC71B4" w:rsidTr="002554CF">
        <w:trPr>
          <w:trHeight w:val="145"/>
        </w:trPr>
        <w:tc>
          <w:tcPr>
            <w:tcW w:w="1818" w:type="dxa"/>
            <w:vMerge/>
          </w:tcPr>
          <w:p w:rsidR="006357C5" w:rsidRPr="00DC71B4" w:rsidRDefault="006357C5" w:rsidP="002554CF">
            <w:pPr>
              <w:tabs>
                <w:tab w:val="left" w:pos="270"/>
              </w:tabs>
              <w:spacing w:line="240" w:lineRule="auto"/>
              <w:rPr>
                <w:b/>
                <w:bCs/>
                <w:sz w:val="20"/>
                <w:szCs w:val="20"/>
              </w:rPr>
            </w:pPr>
          </w:p>
        </w:tc>
        <w:tc>
          <w:tcPr>
            <w:tcW w:w="2160" w:type="dxa"/>
            <w:vMerge/>
          </w:tcPr>
          <w:p w:rsidR="006357C5" w:rsidRPr="00DC71B4" w:rsidRDefault="006357C5" w:rsidP="002554CF">
            <w:pPr>
              <w:tabs>
                <w:tab w:val="left" w:pos="270"/>
              </w:tabs>
              <w:spacing w:line="240" w:lineRule="auto"/>
              <w:rPr>
                <w:sz w:val="20"/>
                <w:szCs w:val="20"/>
              </w:rPr>
            </w:pP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Family of 4</w:t>
            </w: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 $64,485</w:t>
            </w:r>
          </w:p>
        </w:tc>
        <w:tc>
          <w:tcPr>
            <w:tcW w:w="3078" w:type="dxa"/>
            <w:gridSpan w:val="2"/>
            <w:vMerge/>
          </w:tcPr>
          <w:p w:rsidR="006357C5" w:rsidRPr="00DC71B4" w:rsidRDefault="006357C5" w:rsidP="002554CF">
            <w:pPr>
              <w:tabs>
                <w:tab w:val="left" w:pos="270"/>
              </w:tabs>
              <w:spacing w:line="240" w:lineRule="auto"/>
              <w:rPr>
                <w:sz w:val="20"/>
                <w:szCs w:val="20"/>
              </w:rPr>
            </w:pPr>
          </w:p>
        </w:tc>
      </w:tr>
      <w:tr w:rsidR="006357C5" w:rsidRPr="00DC71B4" w:rsidTr="002554CF">
        <w:trPr>
          <w:trHeight w:val="145"/>
        </w:trPr>
        <w:tc>
          <w:tcPr>
            <w:tcW w:w="1818" w:type="dxa"/>
            <w:vMerge/>
          </w:tcPr>
          <w:p w:rsidR="006357C5" w:rsidRPr="00DC71B4" w:rsidRDefault="006357C5" w:rsidP="002554CF">
            <w:pPr>
              <w:tabs>
                <w:tab w:val="left" w:pos="270"/>
              </w:tabs>
              <w:spacing w:line="240" w:lineRule="auto"/>
              <w:rPr>
                <w:b/>
                <w:bCs/>
                <w:sz w:val="20"/>
                <w:szCs w:val="20"/>
              </w:rPr>
            </w:pPr>
          </w:p>
        </w:tc>
        <w:tc>
          <w:tcPr>
            <w:tcW w:w="2160" w:type="dxa"/>
            <w:vMerge/>
          </w:tcPr>
          <w:p w:rsidR="006357C5" w:rsidRPr="00DC71B4" w:rsidRDefault="006357C5" w:rsidP="002554CF">
            <w:pPr>
              <w:tabs>
                <w:tab w:val="left" w:pos="270"/>
              </w:tabs>
              <w:spacing w:line="240" w:lineRule="auto"/>
              <w:rPr>
                <w:sz w:val="20"/>
                <w:szCs w:val="20"/>
              </w:rPr>
            </w:pP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Family of 5</w:t>
            </w: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 $72,172</w:t>
            </w:r>
          </w:p>
        </w:tc>
        <w:tc>
          <w:tcPr>
            <w:tcW w:w="3078" w:type="dxa"/>
            <w:gridSpan w:val="2"/>
            <w:vMerge/>
          </w:tcPr>
          <w:p w:rsidR="006357C5" w:rsidRPr="00DC71B4" w:rsidRDefault="006357C5" w:rsidP="002554CF">
            <w:pPr>
              <w:tabs>
                <w:tab w:val="left" w:pos="270"/>
              </w:tabs>
              <w:spacing w:line="240" w:lineRule="auto"/>
              <w:rPr>
                <w:sz w:val="20"/>
                <w:szCs w:val="20"/>
              </w:rPr>
            </w:pPr>
          </w:p>
        </w:tc>
      </w:tr>
      <w:tr w:rsidR="006357C5" w:rsidRPr="00DC71B4" w:rsidTr="002554CF">
        <w:trPr>
          <w:trHeight w:val="145"/>
        </w:trPr>
        <w:tc>
          <w:tcPr>
            <w:tcW w:w="1818" w:type="dxa"/>
            <w:vMerge/>
          </w:tcPr>
          <w:p w:rsidR="006357C5" w:rsidRPr="00DC71B4" w:rsidRDefault="006357C5" w:rsidP="002554CF">
            <w:pPr>
              <w:tabs>
                <w:tab w:val="left" w:pos="270"/>
              </w:tabs>
              <w:spacing w:line="240" w:lineRule="auto"/>
              <w:rPr>
                <w:b/>
                <w:bCs/>
                <w:sz w:val="20"/>
                <w:szCs w:val="20"/>
              </w:rPr>
            </w:pPr>
          </w:p>
        </w:tc>
        <w:tc>
          <w:tcPr>
            <w:tcW w:w="2160" w:type="dxa"/>
            <w:vMerge/>
          </w:tcPr>
          <w:p w:rsidR="006357C5" w:rsidRPr="00DC71B4" w:rsidRDefault="006357C5" w:rsidP="002554CF">
            <w:pPr>
              <w:tabs>
                <w:tab w:val="left" w:pos="270"/>
              </w:tabs>
              <w:spacing w:line="240" w:lineRule="auto"/>
              <w:rPr>
                <w:sz w:val="20"/>
                <w:szCs w:val="20"/>
              </w:rPr>
            </w:pP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Family of 6</w:t>
            </w: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 $80,763</w:t>
            </w:r>
          </w:p>
        </w:tc>
        <w:tc>
          <w:tcPr>
            <w:tcW w:w="3078" w:type="dxa"/>
            <w:gridSpan w:val="2"/>
            <w:vMerge/>
          </w:tcPr>
          <w:p w:rsidR="006357C5" w:rsidRPr="00DC71B4" w:rsidRDefault="006357C5" w:rsidP="002554CF">
            <w:pPr>
              <w:tabs>
                <w:tab w:val="left" w:pos="270"/>
              </w:tabs>
              <w:spacing w:line="240" w:lineRule="auto"/>
              <w:rPr>
                <w:sz w:val="20"/>
                <w:szCs w:val="20"/>
              </w:rPr>
            </w:pPr>
          </w:p>
        </w:tc>
      </w:tr>
      <w:tr w:rsidR="006357C5" w:rsidRPr="00DC71B4" w:rsidTr="002554CF">
        <w:trPr>
          <w:trHeight w:val="145"/>
        </w:trPr>
        <w:tc>
          <w:tcPr>
            <w:tcW w:w="1818" w:type="dxa"/>
            <w:vMerge/>
          </w:tcPr>
          <w:p w:rsidR="006357C5" w:rsidRPr="00DC71B4" w:rsidRDefault="006357C5" w:rsidP="002554CF">
            <w:pPr>
              <w:tabs>
                <w:tab w:val="left" w:pos="270"/>
              </w:tabs>
              <w:spacing w:line="240" w:lineRule="auto"/>
              <w:rPr>
                <w:b/>
                <w:bCs/>
                <w:sz w:val="20"/>
                <w:szCs w:val="20"/>
              </w:rPr>
            </w:pPr>
          </w:p>
        </w:tc>
        <w:tc>
          <w:tcPr>
            <w:tcW w:w="2160" w:type="dxa"/>
            <w:vMerge/>
          </w:tcPr>
          <w:p w:rsidR="006357C5" w:rsidRPr="00DC71B4" w:rsidRDefault="006357C5" w:rsidP="002554CF">
            <w:pPr>
              <w:tabs>
                <w:tab w:val="left" w:pos="270"/>
              </w:tabs>
              <w:spacing w:line="240" w:lineRule="auto"/>
              <w:rPr>
                <w:sz w:val="20"/>
                <w:szCs w:val="20"/>
              </w:rPr>
            </w:pP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 xml:space="preserve">Families of </w:t>
            </w:r>
            <w:r w:rsidRPr="00DC71B4">
              <w:rPr>
                <w:rFonts w:ascii="Calibri" w:hAnsi="Calibri" w:cs="Times New Roman"/>
                <w:sz w:val="20"/>
                <w:szCs w:val="20"/>
              </w:rPr>
              <w:lastRenderedPageBreak/>
              <w:t>more than 6</w:t>
            </w:r>
          </w:p>
        </w:tc>
        <w:tc>
          <w:tcPr>
            <w:tcW w:w="12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lastRenderedPageBreak/>
              <w:t xml:space="preserve">Limit </w:t>
            </w:r>
            <w:r w:rsidRPr="00DC71B4">
              <w:rPr>
                <w:rFonts w:ascii="Calibri" w:hAnsi="Calibri" w:cs="Times New Roman"/>
                <w:sz w:val="20"/>
                <w:szCs w:val="20"/>
              </w:rPr>
              <w:lastRenderedPageBreak/>
              <w:t>increases another $7,569/person</w:t>
            </w:r>
          </w:p>
        </w:tc>
        <w:tc>
          <w:tcPr>
            <w:tcW w:w="3078" w:type="dxa"/>
            <w:gridSpan w:val="2"/>
            <w:vMerge/>
          </w:tcPr>
          <w:p w:rsidR="006357C5" w:rsidRPr="00DC71B4" w:rsidRDefault="006357C5" w:rsidP="002554CF">
            <w:pPr>
              <w:tabs>
                <w:tab w:val="left" w:pos="270"/>
              </w:tabs>
              <w:spacing w:line="240" w:lineRule="auto"/>
              <w:rPr>
                <w:sz w:val="20"/>
                <w:szCs w:val="20"/>
              </w:rPr>
            </w:pPr>
          </w:p>
        </w:tc>
      </w:tr>
      <w:tr w:rsidR="006357C5" w:rsidRPr="00DC71B4" w:rsidTr="002554CF">
        <w:tc>
          <w:tcPr>
            <w:tcW w:w="1818" w:type="dxa"/>
          </w:tcPr>
          <w:p w:rsidR="006357C5" w:rsidRPr="00DC71B4" w:rsidRDefault="006357C5" w:rsidP="002554CF">
            <w:pPr>
              <w:tabs>
                <w:tab w:val="left" w:pos="270"/>
              </w:tabs>
              <w:spacing w:line="240" w:lineRule="auto"/>
              <w:rPr>
                <w:b/>
                <w:bCs/>
                <w:sz w:val="20"/>
                <w:szCs w:val="20"/>
              </w:rPr>
            </w:pPr>
            <w:r w:rsidRPr="00DC71B4">
              <w:rPr>
                <w:rFonts w:ascii="Cambria" w:hAnsi="Cambria" w:cs="Times New Roman"/>
                <w:b/>
                <w:bCs/>
                <w:sz w:val="20"/>
                <w:szCs w:val="20"/>
              </w:rPr>
              <w:lastRenderedPageBreak/>
              <w:t>Transition to Work Grant</w:t>
            </w:r>
          </w:p>
        </w:tc>
        <w:tc>
          <w:tcPr>
            <w:tcW w:w="21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Help with costs of starting work, attending job interviews, buying work clothes, paying for relocation</w:t>
            </w:r>
          </w:p>
        </w:tc>
        <w:tc>
          <w:tcPr>
            <w:tcW w:w="2520"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Tertiary student</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Financial need</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Job over 30 hours/week</w:t>
            </w:r>
          </w:p>
        </w:tc>
        <w:tc>
          <w:tcPr>
            <w:tcW w:w="3078"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Varies</w:t>
            </w:r>
          </w:p>
        </w:tc>
      </w:tr>
      <w:tr w:rsidR="006357C5" w:rsidRPr="00DC71B4" w:rsidTr="002554CF">
        <w:tc>
          <w:tcPr>
            <w:tcW w:w="1818" w:type="dxa"/>
          </w:tcPr>
          <w:p w:rsidR="006357C5" w:rsidRPr="00DC71B4" w:rsidRDefault="006357C5" w:rsidP="002554CF">
            <w:pPr>
              <w:tabs>
                <w:tab w:val="left" w:pos="270"/>
              </w:tabs>
              <w:spacing w:line="240" w:lineRule="auto"/>
              <w:rPr>
                <w:b/>
                <w:bCs/>
                <w:sz w:val="20"/>
                <w:szCs w:val="20"/>
              </w:rPr>
            </w:pPr>
            <w:r w:rsidRPr="00DC71B4">
              <w:rPr>
                <w:rFonts w:ascii="Cambria" w:hAnsi="Cambria" w:cs="Times New Roman"/>
                <w:b/>
                <w:bCs/>
                <w:sz w:val="20"/>
                <w:szCs w:val="20"/>
              </w:rPr>
              <w:t>Student Allowance Transfer Grant</w:t>
            </w:r>
          </w:p>
        </w:tc>
        <w:tc>
          <w:tcPr>
            <w:tcW w:w="21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One-off payment for students with a partner or child and whose Student Allowance has stopped</w:t>
            </w:r>
          </w:p>
        </w:tc>
        <w:tc>
          <w:tcPr>
            <w:tcW w:w="2520"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Transfer period from Student Allowance to main benefit</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 xml:space="preserve">Combined student-partner income is under certain limits or </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Child or children in care</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Financial hardship</w:t>
            </w:r>
          </w:p>
        </w:tc>
        <w:tc>
          <w:tcPr>
            <w:tcW w:w="3078"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Varies</w:t>
            </w:r>
          </w:p>
        </w:tc>
      </w:tr>
      <w:tr w:rsidR="006357C5" w:rsidRPr="00DC71B4" w:rsidTr="002554CF">
        <w:tc>
          <w:tcPr>
            <w:tcW w:w="1818" w:type="dxa"/>
          </w:tcPr>
          <w:p w:rsidR="006357C5" w:rsidRPr="00DC71B4" w:rsidRDefault="006357C5" w:rsidP="002554CF">
            <w:pPr>
              <w:tabs>
                <w:tab w:val="left" w:pos="270"/>
              </w:tabs>
              <w:spacing w:line="240" w:lineRule="auto"/>
              <w:rPr>
                <w:b/>
                <w:bCs/>
                <w:sz w:val="20"/>
                <w:szCs w:val="20"/>
              </w:rPr>
            </w:pPr>
            <w:r w:rsidRPr="00DC71B4">
              <w:rPr>
                <w:rFonts w:ascii="Cambria" w:hAnsi="Cambria" w:cs="Times New Roman"/>
                <w:b/>
                <w:bCs/>
                <w:sz w:val="20"/>
                <w:szCs w:val="20"/>
              </w:rPr>
              <w:t xml:space="preserve">Away from Home Allowance, Training Incentive Allowance and Domestic Purposes Benefit-Sole Parent Assistance </w:t>
            </w:r>
          </w:p>
        </w:tc>
        <w:tc>
          <w:tcPr>
            <w:tcW w:w="21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Help with extra costs for parents and students aged 16-17 who do not qualify for Student Allowance, or help with study costs for recipients of Domestic Purposes, Widows or Invalids Benefit, or Emergency Maintenance Allowance</w:t>
            </w:r>
          </w:p>
        </w:tc>
        <w:tc>
          <w:tcPr>
            <w:tcW w:w="2520"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Varies</w:t>
            </w:r>
          </w:p>
        </w:tc>
        <w:tc>
          <w:tcPr>
            <w:tcW w:w="3078"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Varies</w:t>
            </w:r>
          </w:p>
        </w:tc>
      </w:tr>
      <w:tr w:rsidR="006357C5" w:rsidRPr="00DC71B4" w:rsidTr="002554CF">
        <w:tc>
          <w:tcPr>
            <w:tcW w:w="1818" w:type="dxa"/>
          </w:tcPr>
          <w:p w:rsidR="006357C5" w:rsidRPr="00DC71B4" w:rsidRDefault="006357C5" w:rsidP="002554CF">
            <w:pPr>
              <w:tabs>
                <w:tab w:val="left" w:pos="270"/>
              </w:tabs>
              <w:spacing w:line="240" w:lineRule="auto"/>
              <w:rPr>
                <w:b/>
                <w:bCs/>
                <w:sz w:val="20"/>
                <w:szCs w:val="20"/>
              </w:rPr>
            </w:pPr>
            <w:r w:rsidRPr="00DC71B4">
              <w:rPr>
                <w:rFonts w:ascii="Cambria" w:hAnsi="Cambria" w:cs="Times New Roman"/>
                <w:b/>
                <w:bCs/>
                <w:sz w:val="20"/>
                <w:szCs w:val="20"/>
              </w:rPr>
              <w:t>Temporary Additional Support</w:t>
            </w:r>
          </w:p>
        </w:tc>
        <w:tc>
          <w:tcPr>
            <w:tcW w:w="21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Short-time help if student cannot meet necessary living costs</w:t>
            </w:r>
          </w:p>
        </w:tc>
        <w:tc>
          <w:tcPr>
            <w:tcW w:w="2520"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Over 16 years old</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New Zealand resident or citizen</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Essential living costs</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Not a Special Benefit recipient</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Full-time students must have dependent child or have disability costs for relative that exceeds maximum rate of Disability Allowance</w:t>
            </w:r>
          </w:p>
        </w:tc>
        <w:tc>
          <w:tcPr>
            <w:tcW w:w="3078"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Varies</w:t>
            </w:r>
          </w:p>
        </w:tc>
      </w:tr>
      <w:tr w:rsidR="006357C5" w:rsidRPr="00DC71B4" w:rsidTr="002554CF">
        <w:trPr>
          <w:trHeight w:val="54"/>
        </w:trPr>
        <w:tc>
          <w:tcPr>
            <w:tcW w:w="1818" w:type="dxa"/>
          </w:tcPr>
          <w:p w:rsidR="006357C5" w:rsidRPr="00DC71B4" w:rsidRDefault="006357C5" w:rsidP="002554CF">
            <w:pPr>
              <w:tabs>
                <w:tab w:val="left" w:pos="270"/>
              </w:tabs>
              <w:spacing w:line="240" w:lineRule="auto"/>
              <w:rPr>
                <w:b/>
                <w:bCs/>
                <w:sz w:val="20"/>
                <w:szCs w:val="20"/>
              </w:rPr>
            </w:pPr>
            <w:r w:rsidRPr="00DC71B4">
              <w:rPr>
                <w:rFonts w:ascii="Cambria" w:hAnsi="Cambria" w:cs="Times New Roman"/>
                <w:b/>
                <w:bCs/>
                <w:sz w:val="20"/>
                <w:szCs w:val="20"/>
              </w:rPr>
              <w:t xml:space="preserve">Working for Families Tax Credits (Family Tax Credit, In-Work Tax Credit, Minimum Family Tax Credit and Parental Tax </w:t>
            </w:r>
            <w:r w:rsidRPr="00DC71B4">
              <w:rPr>
                <w:rFonts w:ascii="Cambria" w:hAnsi="Cambria" w:cs="Times New Roman"/>
                <w:b/>
                <w:bCs/>
                <w:sz w:val="20"/>
                <w:szCs w:val="20"/>
              </w:rPr>
              <w:lastRenderedPageBreak/>
              <w:t>Credit)</w:t>
            </w:r>
          </w:p>
        </w:tc>
        <w:tc>
          <w:tcPr>
            <w:tcW w:w="2160" w:type="dxa"/>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lastRenderedPageBreak/>
              <w:t>Entitlement for working families with children. Four types of payments. Students may qualify for one or more.</w:t>
            </w:r>
          </w:p>
        </w:tc>
        <w:tc>
          <w:tcPr>
            <w:tcW w:w="2520"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Number of dependent children 18 years or younger</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Combined student-partner earnings</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Age of children in care</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lastRenderedPageBreak/>
              <w:t>Shared care arrangements</w:t>
            </w:r>
          </w:p>
          <w:p w:rsidR="006357C5" w:rsidRPr="00DC71B4" w:rsidRDefault="006357C5" w:rsidP="002554CF">
            <w:pPr>
              <w:tabs>
                <w:tab w:val="left" w:pos="270"/>
              </w:tabs>
              <w:spacing w:line="240" w:lineRule="auto"/>
              <w:rPr>
                <w:sz w:val="20"/>
                <w:szCs w:val="20"/>
              </w:rPr>
            </w:pPr>
          </w:p>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t>Hours of work/week</w:t>
            </w:r>
          </w:p>
        </w:tc>
        <w:tc>
          <w:tcPr>
            <w:tcW w:w="3078" w:type="dxa"/>
            <w:gridSpan w:val="2"/>
          </w:tcPr>
          <w:p w:rsidR="006357C5" w:rsidRPr="00DC71B4" w:rsidRDefault="006357C5" w:rsidP="002554CF">
            <w:pPr>
              <w:tabs>
                <w:tab w:val="left" w:pos="270"/>
              </w:tabs>
              <w:spacing w:line="240" w:lineRule="auto"/>
              <w:rPr>
                <w:sz w:val="20"/>
                <w:szCs w:val="20"/>
              </w:rPr>
            </w:pPr>
            <w:r w:rsidRPr="00DC71B4">
              <w:rPr>
                <w:rFonts w:ascii="Calibri" w:hAnsi="Calibri" w:cs="Times New Roman"/>
                <w:sz w:val="20"/>
                <w:szCs w:val="20"/>
              </w:rPr>
              <w:lastRenderedPageBreak/>
              <w:t>Varies</w:t>
            </w:r>
          </w:p>
        </w:tc>
      </w:tr>
    </w:tbl>
    <w:p w:rsidR="006357C5" w:rsidRPr="00DF0CD6" w:rsidRDefault="006357C5" w:rsidP="006357C5"/>
    <w:p w:rsidR="006357C5" w:rsidRDefault="006357C5" w:rsidP="006357C5">
      <w:pPr>
        <w:pStyle w:val="ListParagraph"/>
        <w:tabs>
          <w:tab w:val="left" w:pos="270"/>
        </w:tabs>
        <w:ind w:left="0"/>
        <w:contextualSpacing w:val="0"/>
        <w:jc w:val="both"/>
        <w:rPr>
          <w:b/>
        </w:rPr>
      </w:pPr>
    </w:p>
    <w:p w:rsidR="006357C5" w:rsidRPr="00801949" w:rsidRDefault="006357C5" w:rsidP="006357C5">
      <w:pPr>
        <w:rPr>
          <w:b/>
        </w:rPr>
      </w:pPr>
      <w:r w:rsidRPr="00801949">
        <w:rPr>
          <w:b/>
        </w:rPr>
        <w:t>D) Tensions in the System: Recent Reforms and Prospects of Reform in the Midterm</w:t>
      </w:r>
    </w:p>
    <w:p w:rsidR="006357C5" w:rsidRDefault="006357C5" w:rsidP="006357C5">
      <w:pPr>
        <w:pStyle w:val="ListParagraph"/>
        <w:tabs>
          <w:tab w:val="left" w:pos="270"/>
        </w:tabs>
        <w:ind w:left="0"/>
        <w:contextualSpacing w:val="0"/>
        <w:jc w:val="both"/>
        <w:rPr>
          <w:b/>
        </w:rPr>
      </w:pPr>
    </w:p>
    <w:p w:rsidR="006357C5" w:rsidRDefault="006357C5" w:rsidP="006357C5">
      <w:pPr>
        <w:jc w:val="both"/>
      </w:pPr>
      <w:r w:rsidRPr="00DF0CD6">
        <w:t>The New Zealand student aid system has undergone a series of reforms in recent years. One of the most significant developments was the introduction in 2006 of an interest-free loan policy for domestic students. This reform emerged against the background of student dissatisfaction with the Student Loan Scheme. Indeed, in 2003, student associations across different tertiary institutions voiced claims against the relatively greater debt incurred by students enrolled in longer or multiple courses. The growth in tuition fees and the high compounding loan interest were other major concerns. Through the introduction of interest-free loans for domestic students, the government thus partly sought to placate student discontent. However, it also sought to improve repayment rates, which had declined sharply especially among graduates not based in New Zealand. Nonetheless, the policy removed incentives for voluntary repayments, a trend that the Government counteracted through the implementation in 2009 of a voluntary repayment bonus scheme. Since the bonus was introduced, overseas-based borrowers have made repayments about twice the value of New-Zealand based borrowers’ repayments.</w:t>
      </w:r>
    </w:p>
    <w:p w:rsidR="006357C5" w:rsidRDefault="006357C5" w:rsidP="006357C5">
      <w:pPr>
        <w:jc w:val="both"/>
      </w:pPr>
    </w:p>
    <w:p w:rsidR="006357C5" w:rsidRDefault="006357C5" w:rsidP="006357C5">
      <w:pPr>
        <w:tabs>
          <w:tab w:val="left" w:pos="270"/>
        </w:tabs>
        <w:jc w:val="both"/>
      </w:pPr>
      <w:r w:rsidRPr="00DF0CD6">
        <w:t xml:space="preserve">In August 2011, the Parliament further enacted legislation affecting the student aid system. New rules include a consolidated view of the loan balance through a daily transfer of loan account information from StudyLink to Inland Revenue, as well as online loan management services and tools to encourage repayment and facilitate the borrower experience. </w:t>
      </w:r>
    </w:p>
    <w:p w:rsidR="006357C5" w:rsidRDefault="006357C5" w:rsidP="006357C5">
      <w:pPr>
        <w:tabs>
          <w:tab w:val="left" w:pos="270"/>
        </w:tabs>
        <w:jc w:val="both"/>
      </w:pPr>
    </w:p>
    <w:p w:rsidR="006357C5" w:rsidRDefault="006357C5" w:rsidP="006357C5">
      <w:pPr>
        <w:tabs>
          <w:tab w:val="left" w:pos="270"/>
        </w:tabs>
        <w:jc w:val="both"/>
      </w:pPr>
      <w:r w:rsidRPr="00DF0CD6">
        <w:t>Yet another significant development is the introduction of performance-linked funding for SAC-funded TEIs. This year, the performance of each TEI will be measured at four New Zealand Qualifications Framework (NZQF) levels: 1-2, 3-4, 5-6, and 7-8. Those TEIs performing above the 50</w:t>
      </w:r>
      <w:r w:rsidRPr="00DF0CD6">
        <w:rPr>
          <w:vertAlign w:val="superscript"/>
        </w:rPr>
        <w:t>th</w:t>
      </w:r>
      <w:r w:rsidRPr="00DF0CD6">
        <w:t xml:space="preserve"> percentile in each grouped qualification level will continue receiving 100% of their funding. Up to 5% of a TEI’s funding in 2012 will be based on the provider’s performance in 2011 against up to four Educational Performance Indicators: qualification completion rate, course completion rate, retention, and progression. The value of performance outcomes differs across qualification levels. For example, the progression indicator is more important at foundation levels.</w:t>
      </w:r>
    </w:p>
    <w:p w:rsidR="006357C5" w:rsidRDefault="006357C5" w:rsidP="006357C5">
      <w:pPr>
        <w:tabs>
          <w:tab w:val="left" w:pos="270"/>
        </w:tabs>
        <w:jc w:val="both"/>
      </w:pPr>
    </w:p>
    <w:p w:rsidR="006357C5" w:rsidRDefault="006357C5" w:rsidP="006357C5">
      <w:pPr>
        <w:tabs>
          <w:tab w:val="left" w:pos="270"/>
        </w:tabs>
        <w:jc w:val="both"/>
        <w:rPr>
          <w:lang w:val="en-NZ"/>
        </w:rPr>
      </w:pPr>
      <w:r w:rsidRPr="00DF0CD6">
        <w:t xml:space="preserve">The weighted performance of each SAC-funded Tertiary Education Provider at each qualification level is combined into a score out of ten. Here is an example for a level 1-2 provider </w:t>
      </w:r>
      <w:r w:rsidRPr="00DF0CD6">
        <w:rPr>
          <w:lang w:val="en-NZ"/>
        </w:rPr>
        <w:t>that has a 50% qualification completion rate, a 60% course completion rate, an 80% retention rate and a 53% progression rate.</w:t>
      </w:r>
      <w:r w:rsidRPr="00DF0CD6">
        <w:rPr>
          <w:vertAlign w:val="superscript"/>
          <w:lang w:val="en-NZ"/>
        </w:rPr>
        <w:footnoteReference w:id="16"/>
      </w:r>
    </w:p>
    <w:p w:rsidR="006357C5" w:rsidRDefault="006357C5" w:rsidP="006357C5">
      <w:pPr>
        <w:pStyle w:val="TableHeading"/>
      </w:pPr>
      <w:bookmarkStart w:id="86" w:name="_Toc328382225"/>
      <w:bookmarkStart w:id="87" w:name="_Toc328742909"/>
    </w:p>
    <w:p w:rsidR="006357C5" w:rsidRDefault="006357C5" w:rsidP="006357C5">
      <w:pPr>
        <w:pStyle w:val="TableHeading"/>
      </w:pPr>
      <w:r w:rsidRPr="00DF0CD6">
        <w:t xml:space="preserve">Table </w:t>
      </w:r>
      <w:r>
        <w:t>63</w:t>
      </w:r>
      <w:r w:rsidRPr="00DF0CD6">
        <w:t>: Weightings at qualification levels</w:t>
      </w:r>
      <w:bookmarkEnd w:id="86"/>
      <w:bookmarkEnd w:id="87"/>
    </w:p>
    <w:p w:rsidR="006357C5" w:rsidRDefault="006357C5" w:rsidP="006357C5">
      <w:pPr>
        <w:pStyle w:val="TableHeading"/>
      </w:pPr>
    </w:p>
    <w:p w:rsidR="006357C5" w:rsidRPr="00DF0CD6" w:rsidRDefault="006357C5" w:rsidP="006357C5">
      <w:pPr>
        <w:tabs>
          <w:tab w:val="left" w:pos="270"/>
        </w:tabs>
      </w:pPr>
      <w:r>
        <w:rPr>
          <w:noProof/>
        </w:rPr>
        <w:drawing>
          <wp:inline distT="0" distB="0" distL="0" distR="0" wp14:anchorId="4B62E258" wp14:editId="2B921D97">
            <wp:extent cx="5356860" cy="2105025"/>
            <wp:effectExtent l="19050" t="19050" r="15240" b="28575"/>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7"/>
                    <a:srcRect/>
                    <a:stretch>
                      <a:fillRect/>
                    </a:stretch>
                  </pic:blipFill>
                  <pic:spPr bwMode="auto">
                    <a:xfrm>
                      <a:off x="0" y="0"/>
                      <a:ext cx="5356860" cy="2105025"/>
                    </a:xfrm>
                    <a:prstGeom prst="rect">
                      <a:avLst/>
                    </a:prstGeom>
                    <a:noFill/>
                    <a:ln w="9525" cmpd="sng">
                      <a:solidFill>
                        <a:srgbClr val="FFFFFF"/>
                      </a:solidFill>
                      <a:miter lim="800000"/>
                      <a:headEnd/>
                      <a:tailEnd/>
                    </a:ln>
                    <a:effectLst/>
                  </pic:spPr>
                </pic:pic>
              </a:graphicData>
            </a:graphic>
          </wp:inline>
        </w:drawing>
      </w:r>
    </w:p>
    <w:p w:rsidR="006357C5" w:rsidRPr="00F45905" w:rsidRDefault="006357C5" w:rsidP="006357C5">
      <w:pPr>
        <w:rPr>
          <w:sz w:val="18"/>
          <w:szCs w:val="18"/>
          <w:lang w:val="fr-HT"/>
        </w:rPr>
      </w:pPr>
      <w:r w:rsidRPr="007A5938">
        <w:rPr>
          <w:sz w:val="18"/>
          <w:u w:val="single"/>
          <w:lang w:val="fr-HT"/>
        </w:rPr>
        <w:t>Source:</w:t>
      </w:r>
      <w:r w:rsidRPr="007A5938">
        <w:rPr>
          <w:sz w:val="18"/>
          <w:szCs w:val="18"/>
          <w:u w:val="single"/>
          <w:lang w:val="fr-HT"/>
        </w:rPr>
        <w:t xml:space="preserve"> </w:t>
      </w:r>
      <w:r w:rsidRPr="00F45905">
        <w:rPr>
          <w:sz w:val="18"/>
          <w:szCs w:val="18"/>
          <w:lang w:val="fr-HT"/>
        </w:rPr>
        <w:t>http://www.tec.govt.nz</w:t>
      </w:r>
    </w:p>
    <w:p w:rsidR="006357C5" w:rsidRPr="00DF0CD6" w:rsidRDefault="006357C5" w:rsidP="006357C5">
      <w:pPr>
        <w:rPr>
          <w:lang w:val="fr-HT"/>
        </w:rPr>
      </w:pPr>
    </w:p>
    <w:p w:rsidR="006357C5" w:rsidRDefault="006357C5" w:rsidP="006357C5">
      <w:pPr>
        <w:pStyle w:val="TableHeading"/>
      </w:pPr>
      <w:bookmarkStart w:id="88" w:name="_Toc328382226"/>
      <w:bookmarkStart w:id="89" w:name="_Toc328742910"/>
      <w:r w:rsidRPr="00DF0CD6">
        <w:t xml:space="preserve">Table </w:t>
      </w:r>
      <w:r>
        <w:t>64</w:t>
      </w:r>
      <w:r w:rsidRPr="00DF0CD6">
        <w:t>: Performance score calculation example</w:t>
      </w:r>
      <w:bookmarkEnd w:id="88"/>
      <w:bookmarkEnd w:id="89"/>
    </w:p>
    <w:p w:rsidR="006357C5" w:rsidRDefault="006357C5" w:rsidP="006357C5">
      <w:pPr>
        <w:pStyle w:val="TableHeading"/>
      </w:pPr>
    </w:p>
    <w:p w:rsidR="006357C5" w:rsidRPr="00DF0CD6" w:rsidRDefault="006357C5" w:rsidP="006357C5">
      <w:r>
        <w:rPr>
          <w:noProof/>
        </w:rPr>
        <w:drawing>
          <wp:inline distT="0" distB="0" distL="0" distR="0" wp14:anchorId="1F85F89B" wp14:editId="719F2879">
            <wp:extent cx="5736590" cy="664210"/>
            <wp:effectExtent l="19050" t="0" r="0" b="0"/>
            <wp:docPr id="65" name="Imagen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a:srcRect/>
                    <a:stretch>
                      <a:fillRect/>
                    </a:stretch>
                  </pic:blipFill>
                  <pic:spPr bwMode="auto">
                    <a:xfrm>
                      <a:off x="0" y="0"/>
                      <a:ext cx="5736590" cy="664210"/>
                    </a:xfrm>
                    <a:prstGeom prst="rect">
                      <a:avLst/>
                    </a:prstGeom>
                    <a:noFill/>
                    <a:ln w="9525">
                      <a:noFill/>
                      <a:miter lim="800000"/>
                      <a:headEnd/>
                      <a:tailEnd/>
                    </a:ln>
                  </pic:spPr>
                </pic:pic>
              </a:graphicData>
            </a:graphic>
          </wp:inline>
        </w:drawing>
      </w:r>
    </w:p>
    <w:p w:rsidR="006357C5" w:rsidRPr="00F45905" w:rsidRDefault="006357C5" w:rsidP="006357C5">
      <w:pPr>
        <w:rPr>
          <w:sz w:val="18"/>
          <w:szCs w:val="18"/>
          <w:lang w:val="fr-HT"/>
        </w:rPr>
      </w:pPr>
      <w:r w:rsidRPr="00F45905">
        <w:rPr>
          <w:sz w:val="18"/>
          <w:lang w:val="fr-HT"/>
        </w:rPr>
        <w:t xml:space="preserve"> </w:t>
      </w:r>
      <w:r w:rsidRPr="007A5938">
        <w:rPr>
          <w:sz w:val="18"/>
          <w:u w:val="single"/>
          <w:lang w:val="fr-HT"/>
        </w:rPr>
        <w:t>Source:</w:t>
      </w:r>
      <w:r w:rsidRPr="00F45905">
        <w:rPr>
          <w:sz w:val="18"/>
          <w:szCs w:val="18"/>
          <w:lang w:val="fr-HT"/>
        </w:rPr>
        <w:t xml:space="preserve"> </w:t>
      </w:r>
      <w:hyperlink r:id="rId19" w:history="1">
        <w:r w:rsidRPr="004F0719">
          <w:rPr>
            <w:rStyle w:val="Hyperlink"/>
            <w:rFonts w:cs="Arial"/>
            <w:sz w:val="18"/>
            <w:szCs w:val="18"/>
            <w:lang w:val="fr-FR"/>
          </w:rPr>
          <w:t>http://www.tec.govt.nz</w:t>
        </w:r>
      </w:hyperlink>
    </w:p>
    <w:p w:rsidR="006357C5" w:rsidRDefault="006357C5" w:rsidP="006357C5">
      <w:pPr>
        <w:jc w:val="both"/>
        <w:rPr>
          <w:sz w:val="18"/>
          <w:szCs w:val="18"/>
          <w:lang w:val="fr-HT"/>
        </w:rPr>
      </w:pPr>
    </w:p>
    <w:p w:rsidR="006357C5" w:rsidRPr="00F71402" w:rsidRDefault="006357C5" w:rsidP="006357C5">
      <w:pPr>
        <w:jc w:val="both"/>
        <w:rPr>
          <w:sz w:val="18"/>
          <w:szCs w:val="18"/>
          <w:lang w:val="fr-HT"/>
        </w:rPr>
      </w:pPr>
    </w:p>
    <w:p w:rsidR="006357C5" w:rsidRPr="00DF0CD6" w:rsidRDefault="006357C5" w:rsidP="006357C5">
      <w:r w:rsidRPr="00DF0CD6">
        <w:t>After a performance score is calculated, it will be measured against fixed thresholds.</w:t>
      </w:r>
    </w:p>
    <w:p w:rsidR="006357C5" w:rsidRPr="00DF0CD6" w:rsidRDefault="006357C5" w:rsidP="006357C5">
      <w:pPr>
        <w:jc w:val="both"/>
      </w:pPr>
    </w:p>
    <w:p w:rsidR="006357C5" w:rsidRDefault="006357C5" w:rsidP="006357C5">
      <w:pPr>
        <w:pStyle w:val="ListParagraph"/>
        <w:numPr>
          <w:ilvl w:val="0"/>
          <w:numId w:val="17"/>
        </w:numPr>
        <w:contextualSpacing w:val="0"/>
        <w:jc w:val="both"/>
        <w:rPr>
          <w:bCs/>
          <w:lang w:val="en-NZ"/>
        </w:rPr>
      </w:pPr>
      <w:r w:rsidRPr="00DF0CD6">
        <w:rPr>
          <w:bCs/>
          <w:lang w:val="en-NZ"/>
        </w:rPr>
        <w:t>Upper threshold: set at the 50</w:t>
      </w:r>
      <w:r w:rsidRPr="00DF0CD6">
        <w:rPr>
          <w:bCs/>
          <w:vertAlign w:val="superscript"/>
          <w:lang w:val="en-NZ"/>
        </w:rPr>
        <w:t>th</w:t>
      </w:r>
      <w:r w:rsidRPr="00DF0CD6">
        <w:rPr>
          <w:bCs/>
          <w:lang w:val="en-NZ"/>
        </w:rPr>
        <w:t xml:space="preserve"> percentile based on the 2009 performance scores for all TEIs within a given level. TEIs whose scores fall in this threshold will retain 100% of their funding at such qualification level.</w:t>
      </w:r>
    </w:p>
    <w:p w:rsidR="006357C5" w:rsidRDefault="006357C5" w:rsidP="006357C5">
      <w:pPr>
        <w:pStyle w:val="ListParagraph"/>
        <w:numPr>
          <w:ilvl w:val="0"/>
          <w:numId w:val="17"/>
        </w:numPr>
        <w:contextualSpacing w:val="0"/>
        <w:jc w:val="both"/>
        <w:rPr>
          <w:bCs/>
          <w:lang w:val="en-NZ"/>
        </w:rPr>
      </w:pPr>
      <w:r w:rsidRPr="00DF0CD6">
        <w:rPr>
          <w:bCs/>
          <w:lang w:val="en-NZ"/>
        </w:rPr>
        <w:t>Lower threshold: set at the 10</w:t>
      </w:r>
      <w:r w:rsidRPr="00DF0CD6">
        <w:rPr>
          <w:bCs/>
          <w:vertAlign w:val="superscript"/>
          <w:lang w:val="en-NZ"/>
        </w:rPr>
        <w:t>th</w:t>
      </w:r>
      <w:r w:rsidRPr="00DF0CD6">
        <w:rPr>
          <w:bCs/>
          <w:lang w:val="en-NZ"/>
        </w:rPr>
        <w:t xml:space="preserve"> percentile based on the 2009 performance scores for all TEIs within a given level. TEIs whose scores fall at, or below, this threshold will lose 5% of their funding at such qualification level.</w:t>
      </w:r>
    </w:p>
    <w:p w:rsidR="006357C5" w:rsidRDefault="006357C5" w:rsidP="006357C5">
      <w:pPr>
        <w:pStyle w:val="ListParagraph"/>
        <w:numPr>
          <w:ilvl w:val="0"/>
          <w:numId w:val="17"/>
        </w:numPr>
        <w:contextualSpacing w:val="0"/>
        <w:jc w:val="both"/>
        <w:rPr>
          <w:bCs/>
          <w:lang w:val="en-NZ"/>
        </w:rPr>
      </w:pPr>
      <w:r w:rsidRPr="00DF0CD6">
        <w:rPr>
          <w:bCs/>
          <w:lang w:val="en-NZ"/>
        </w:rPr>
        <w:t>Sliding scale: TEIs whose performance scores lie between the upper and lower threshold scores will lose between 0 and 5% of their funding on a sliding scale at that qualification level. In other words, the closer the score is to the upper threshold score, the more funding it will retain.</w:t>
      </w:r>
    </w:p>
    <w:p w:rsidR="006357C5" w:rsidRDefault="006357C5" w:rsidP="006357C5">
      <w:pPr>
        <w:pStyle w:val="ListParagraph"/>
        <w:contextualSpacing w:val="0"/>
        <w:jc w:val="both"/>
        <w:rPr>
          <w:bCs/>
          <w:lang w:val="en-NZ"/>
        </w:rPr>
      </w:pPr>
    </w:p>
    <w:p w:rsidR="006357C5" w:rsidRDefault="006357C5" w:rsidP="006357C5">
      <w:pPr>
        <w:jc w:val="both"/>
        <w:rPr>
          <w:bCs/>
          <w:lang w:val="en-NZ"/>
        </w:rPr>
      </w:pPr>
      <w:r w:rsidRPr="00DF0CD6">
        <w:rPr>
          <w:bCs/>
          <w:lang w:val="en-NZ"/>
        </w:rPr>
        <w:t>Funding proportions are determined by various factors. A TEI’s score at each qualification level determines its proportion of funding allocated to that qualification level. In contrast, the proportion of overall funding that a TEI can retain depends on the amount and type of education delivered by the TEI at a given qualification level.</w:t>
      </w:r>
    </w:p>
    <w:p w:rsidR="006357C5" w:rsidRDefault="006357C5" w:rsidP="006357C5">
      <w:pPr>
        <w:jc w:val="both"/>
        <w:rPr>
          <w:bCs/>
          <w:lang w:val="en-NZ"/>
        </w:rPr>
      </w:pPr>
    </w:p>
    <w:p w:rsidR="006357C5" w:rsidRDefault="006357C5" w:rsidP="006357C5">
      <w:pPr>
        <w:pStyle w:val="TableHeading"/>
        <w:rPr>
          <w:lang w:val="en-NZ"/>
        </w:rPr>
      </w:pPr>
      <w:bookmarkStart w:id="90" w:name="_Toc328382227"/>
      <w:bookmarkStart w:id="91" w:name="_Toc328742911"/>
      <w:r w:rsidRPr="00DF0CD6">
        <w:rPr>
          <w:lang w:val="en-NZ"/>
        </w:rPr>
        <w:t xml:space="preserve">Table </w:t>
      </w:r>
      <w:r>
        <w:rPr>
          <w:lang w:val="en-NZ"/>
        </w:rPr>
        <w:t>65</w:t>
      </w:r>
      <w:r w:rsidRPr="00DF0CD6">
        <w:rPr>
          <w:lang w:val="en-NZ"/>
        </w:rPr>
        <w:t>: Funding Categories and Classifications</w:t>
      </w:r>
      <w:bookmarkEnd w:id="90"/>
      <w:bookmarkEnd w:id="91"/>
    </w:p>
    <w:p w:rsidR="006357C5" w:rsidRDefault="006357C5" w:rsidP="006357C5">
      <w:pPr>
        <w:pStyle w:val="TableHeading"/>
        <w:rPr>
          <w:lang w:val="en-NZ"/>
        </w:rPr>
      </w:pPr>
    </w:p>
    <w:tbl>
      <w:tblPr>
        <w:tblW w:w="0" w:type="auto"/>
        <w:tblInd w:w="-1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A0" w:firstRow="1" w:lastRow="0" w:firstColumn="1" w:lastColumn="0" w:noHBand="0" w:noVBand="0"/>
      </w:tblPr>
      <w:tblGrid>
        <w:gridCol w:w="1170"/>
        <w:gridCol w:w="2585"/>
        <w:gridCol w:w="951"/>
        <w:gridCol w:w="1350"/>
        <w:gridCol w:w="1179"/>
        <w:gridCol w:w="1234"/>
        <w:gridCol w:w="1269"/>
      </w:tblGrid>
      <w:tr w:rsidR="006357C5" w:rsidRPr="00DC71B4" w:rsidTr="002554CF">
        <w:tc>
          <w:tcPr>
            <w:tcW w:w="1170" w:type="dxa"/>
            <w:shd w:val="clear" w:color="auto" w:fill="F2F2F2"/>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Category</w:t>
            </w:r>
          </w:p>
        </w:tc>
        <w:tc>
          <w:tcPr>
            <w:tcW w:w="2585" w:type="dxa"/>
            <w:shd w:val="clear" w:color="auto" w:fill="F2F2F2"/>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 xml:space="preserve">Relevant discipline and course or program </w:t>
            </w:r>
            <w:r w:rsidRPr="00DC71B4">
              <w:rPr>
                <w:rFonts w:ascii="Cambria" w:hAnsi="Cambria" w:cs="Times New Roman"/>
                <w:b/>
                <w:bCs/>
                <w:sz w:val="20"/>
                <w:szCs w:val="20"/>
              </w:rPr>
              <w:lastRenderedPageBreak/>
              <w:t>classification</w:t>
            </w:r>
          </w:p>
        </w:tc>
        <w:tc>
          <w:tcPr>
            <w:tcW w:w="951" w:type="dxa"/>
            <w:shd w:val="clear" w:color="auto" w:fill="F2F2F2"/>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lastRenderedPageBreak/>
              <w:t>1</w:t>
            </w:r>
          </w:p>
          <w:p w:rsidR="006357C5" w:rsidRPr="00DC71B4" w:rsidRDefault="006357C5" w:rsidP="002554CF">
            <w:pPr>
              <w:spacing w:line="240" w:lineRule="auto"/>
              <w:rPr>
                <w:b/>
                <w:bCs/>
                <w:sz w:val="20"/>
                <w:szCs w:val="20"/>
              </w:rPr>
            </w:pPr>
            <w:r w:rsidRPr="00DC71B4">
              <w:rPr>
                <w:rFonts w:ascii="Cambria" w:hAnsi="Cambria" w:cs="Times New Roman"/>
                <w:b/>
                <w:bCs/>
                <w:sz w:val="20"/>
                <w:szCs w:val="20"/>
              </w:rPr>
              <w:t>Non-</w:t>
            </w:r>
            <w:r w:rsidRPr="00DC71B4">
              <w:rPr>
                <w:rFonts w:ascii="Cambria" w:hAnsi="Cambria" w:cs="Times New Roman"/>
                <w:b/>
                <w:bCs/>
                <w:sz w:val="20"/>
                <w:szCs w:val="20"/>
              </w:rPr>
              <w:lastRenderedPageBreak/>
              <w:t>degree</w:t>
            </w:r>
          </w:p>
        </w:tc>
        <w:tc>
          <w:tcPr>
            <w:tcW w:w="1350" w:type="dxa"/>
            <w:shd w:val="clear" w:color="auto" w:fill="F2F2F2"/>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lastRenderedPageBreak/>
              <w:t>2</w:t>
            </w:r>
          </w:p>
          <w:p w:rsidR="006357C5" w:rsidRPr="00DC71B4" w:rsidRDefault="006357C5" w:rsidP="002554CF">
            <w:pPr>
              <w:spacing w:line="240" w:lineRule="auto"/>
              <w:rPr>
                <w:b/>
                <w:bCs/>
                <w:sz w:val="20"/>
                <w:szCs w:val="20"/>
              </w:rPr>
            </w:pPr>
            <w:r w:rsidRPr="00DC71B4">
              <w:rPr>
                <w:rFonts w:ascii="Cambria" w:hAnsi="Cambria" w:cs="Times New Roman"/>
                <w:b/>
                <w:bCs/>
                <w:sz w:val="20"/>
                <w:szCs w:val="20"/>
              </w:rPr>
              <w:t xml:space="preserve">Undergrad </w:t>
            </w:r>
            <w:r w:rsidRPr="00DC71B4">
              <w:rPr>
                <w:rFonts w:ascii="Cambria" w:hAnsi="Cambria" w:cs="Times New Roman"/>
                <w:b/>
                <w:bCs/>
                <w:sz w:val="20"/>
                <w:szCs w:val="20"/>
              </w:rPr>
              <w:lastRenderedPageBreak/>
              <w:t>degree</w:t>
            </w:r>
          </w:p>
        </w:tc>
        <w:tc>
          <w:tcPr>
            <w:tcW w:w="1179" w:type="dxa"/>
            <w:shd w:val="clear" w:color="auto" w:fill="F2F2F2"/>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lastRenderedPageBreak/>
              <w:t>3</w:t>
            </w:r>
          </w:p>
          <w:p w:rsidR="006357C5" w:rsidRPr="00DC71B4" w:rsidRDefault="006357C5" w:rsidP="002554CF">
            <w:pPr>
              <w:spacing w:line="240" w:lineRule="auto"/>
              <w:rPr>
                <w:b/>
                <w:bCs/>
                <w:sz w:val="20"/>
                <w:szCs w:val="20"/>
              </w:rPr>
            </w:pPr>
            <w:r w:rsidRPr="00DC71B4">
              <w:rPr>
                <w:rFonts w:ascii="Cambria" w:hAnsi="Cambria" w:cs="Times New Roman"/>
                <w:b/>
                <w:bCs/>
                <w:sz w:val="20"/>
                <w:szCs w:val="20"/>
              </w:rPr>
              <w:t xml:space="preserve">Taught </w:t>
            </w:r>
            <w:r w:rsidRPr="00DC71B4">
              <w:rPr>
                <w:rFonts w:ascii="Cambria" w:hAnsi="Cambria" w:cs="Times New Roman"/>
                <w:b/>
                <w:bCs/>
                <w:sz w:val="20"/>
                <w:szCs w:val="20"/>
              </w:rPr>
              <w:lastRenderedPageBreak/>
              <w:t>postgrad</w:t>
            </w:r>
          </w:p>
        </w:tc>
        <w:tc>
          <w:tcPr>
            <w:tcW w:w="1234" w:type="dxa"/>
            <w:shd w:val="clear" w:color="auto" w:fill="F2F2F2"/>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lastRenderedPageBreak/>
              <w:t>4</w:t>
            </w:r>
          </w:p>
          <w:p w:rsidR="006357C5" w:rsidRPr="00DC71B4" w:rsidRDefault="006357C5" w:rsidP="002554CF">
            <w:pPr>
              <w:spacing w:line="240" w:lineRule="auto"/>
              <w:rPr>
                <w:b/>
                <w:bCs/>
                <w:sz w:val="20"/>
                <w:szCs w:val="20"/>
              </w:rPr>
            </w:pPr>
            <w:r w:rsidRPr="00DC71B4">
              <w:rPr>
                <w:rFonts w:ascii="Cambria" w:hAnsi="Cambria" w:cs="Times New Roman"/>
                <w:b/>
                <w:bCs/>
                <w:sz w:val="20"/>
                <w:szCs w:val="20"/>
              </w:rPr>
              <w:t xml:space="preserve">Research </w:t>
            </w:r>
            <w:r w:rsidRPr="00DC71B4">
              <w:rPr>
                <w:rFonts w:ascii="Cambria" w:hAnsi="Cambria" w:cs="Times New Roman"/>
                <w:b/>
                <w:bCs/>
                <w:sz w:val="20"/>
                <w:szCs w:val="20"/>
              </w:rPr>
              <w:lastRenderedPageBreak/>
              <w:t>postgrad</w:t>
            </w:r>
          </w:p>
        </w:tc>
        <w:tc>
          <w:tcPr>
            <w:tcW w:w="1269" w:type="dxa"/>
            <w:shd w:val="clear" w:color="auto" w:fill="F2F2F2"/>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lastRenderedPageBreak/>
              <w:t>5</w:t>
            </w:r>
          </w:p>
          <w:p w:rsidR="006357C5" w:rsidRPr="00DC71B4" w:rsidRDefault="006357C5" w:rsidP="002554CF">
            <w:pPr>
              <w:spacing w:line="240" w:lineRule="auto"/>
              <w:rPr>
                <w:b/>
                <w:bCs/>
                <w:sz w:val="20"/>
                <w:szCs w:val="20"/>
              </w:rPr>
            </w:pPr>
            <w:r w:rsidRPr="00DC71B4">
              <w:rPr>
                <w:rFonts w:ascii="Cambria" w:hAnsi="Cambria" w:cs="Times New Roman"/>
                <w:b/>
                <w:bCs/>
                <w:sz w:val="20"/>
                <w:szCs w:val="20"/>
              </w:rPr>
              <w:t xml:space="preserve">Foreign </w:t>
            </w:r>
            <w:r w:rsidRPr="00DC71B4">
              <w:rPr>
                <w:rFonts w:ascii="Cambria" w:hAnsi="Cambria" w:cs="Times New Roman"/>
                <w:b/>
                <w:bCs/>
                <w:sz w:val="20"/>
                <w:szCs w:val="20"/>
              </w:rPr>
              <w:lastRenderedPageBreak/>
              <w:t>student research-based</w:t>
            </w: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lastRenderedPageBreak/>
              <w:t>A</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Arts [#03], Social Sciences [#03], General [#5.2], Vocational Training for Industry [#22.1]</w:t>
            </w:r>
          </w:p>
        </w:tc>
        <w:tc>
          <w:tcPr>
            <w:tcW w:w="951"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A1</w:t>
            </w:r>
          </w:p>
        </w:tc>
        <w:tc>
          <w:tcPr>
            <w:tcW w:w="1350"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A2</w:t>
            </w:r>
          </w:p>
        </w:tc>
        <w:tc>
          <w:tcPr>
            <w:tcW w:w="117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A3</w:t>
            </w:r>
          </w:p>
        </w:tc>
        <w:tc>
          <w:tcPr>
            <w:tcW w:w="1234"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A4</w:t>
            </w:r>
          </w:p>
        </w:tc>
        <w:tc>
          <w:tcPr>
            <w:tcW w:w="126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A5</w:t>
            </w: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B</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Architecture (non-degree) [#02], Computer Science [#06], Fine Arts, Design [#12], Music and Performing Arts [#16], Health-related Professions #17], Vocational Training for Industry [#22.1], Medical Imaging [#25], Occupational Therapy [#28], Physiotherapy [#29], Clinical Psychology [#34]</w:t>
            </w:r>
          </w:p>
        </w:tc>
        <w:tc>
          <w:tcPr>
            <w:tcW w:w="951"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B1</w:t>
            </w:r>
          </w:p>
        </w:tc>
        <w:tc>
          <w:tcPr>
            <w:tcW w:w="1350"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B2</w:t>
            </w:r>
          </w:p>
        </w:tc>
        <w:tc>
          <w:tcPr>
            <w:tcW w:w="117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B3</w:t>
            </w:r>
          </w:p>
        </w:tc>
        <w:tc>
          <w:tcPr>
            <w:tcW w:w="1234"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B4</w:t>
            </w:r>
          </w:p>
        </w:tc>
        <w:tc>
          <w:tcPr>
            <w:tcW w:w="126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B5</w:t>
            </w: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C</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Architecture (degree) [#02], Engineering, Technology [#11], Health Sciences [#13], Vocational Training for Industry [#22.1], Midwifery [#27], Speech Language Therapy [#32], Medical Laboratory Science [#33], Audiology [#35]</w:t>
            </w:r>
          </w:p>
        </w:tc>
        <w:tc>
          <w:tcPr>
            <w:tcW w:w="951"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C1</w:t>
            </w:r>
          </w:p>
        </w:tc>
        <w:tc>
          <w:tcPr>
            <w:tcW w:w="1350"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C2</w:t>
            </w:r>
          </w:p>
        </w:tc>
        <w:tc>
          <w:tcPr>
            <w:tcW w:w="117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C3</w:t>
            </w:r>
          </w:p>
        </w:tc>
        <w:tc>
          <w:tcPr>
            <w:tcW w:w="1234"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C4</w:t>
            </w:r>
          </w:p>
        </w:tc>
        <w:tc>
          <w:tcPr>
            <w:tcW w:w="126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C5</w:t>
            </w: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G</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Dentistry (postgraduate only) [#7], Medicine (postgraduate only) [#15], Veterinary Science [#23]</w:t>
            </w:r>
          </w:p>
        </w:tc>
        <w:tc>
          <w:tcPr>
            <w:tcW w:w="951" w:type="dxa"/>
            <w:vAlign w:val="center"/>
          </w:tcPr>
          <w:p w:rsidR="006357C5" w:rsidRPr="00DC71B4" w:rsidRDefault="006357C5" w:rsidP="002554CF">
            <w:pPr>
              <w:spacing w:line="240" w:lineRule="auto"/>
              <w:jc w:val="center"/>
              <w:rPr>
                <w:sz w:val="20"/>
                <w:szCs w:val="20"/>
              </w:rPr>
            </w:pPr>
          </w:p>
        </w:tc>
        <w:tc>
          <w:tcPr>
            <w:tcW w:w="1350"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G2</w:t>
            </w:r>
          </w:p>
        </w:tc>
        <w:tc>
          <w:tcPr>
            <w:tcW w:w="117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G3</w:t>
            </w:r>
          </w:p>
        </w:tc>
        <w:tc>
          <w:tcPr>
            <w:tcW w:w="1234"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G4</w:t>
            </w:r>
          </w:p>
        </w:tc>
        <w:tc>
          <w:tcPr>
            <w:tcW w:w="126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G5</w:t>
            </w: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H</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Specialist Large Animal Science [#39]</w:t>
            </w:r>
          </w:p>
        </w:tc>
        <w:tc>
          <w:tcPr>
            <w:tcW w:w="951" w:type="dxa"/>
            <w:vAlign w:val="center"/>
          </w:tcPr>
          <w:p w:rsidR="006357C5" w:rsidRPr="00DC71B4" w:rsidRDefault="006357C5" w:rsidP="002554CF">
            <w:pPr>
              <w:spacing w:line="240" w:lineRule="auto"/>
              <w:jc w:val="center"/>
              <w:rPr>
                <w:sz w:val="20"/>
                <w:szCs w:val="20"/>
              </w:rPr>
            </w:pPr>
          </w:p>
        </w:tc>
        <w:tc>
          <w:tcPr>
            <w:tcW w:w="1350"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H2</w:t>
            </w:r>
          </w:p>
        </w:tc>
        <w:tc>
          <w:tcPr>
            <w:tcW w:w="117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H3</w:t>
            </w:r>
          </w:p>
        </w:tc>
        <w:tc>
          <w:tcPr>
            <w:tcW w:w="1234"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H4</w:t>
            </w:r>
          </w:p>
        </w:tc>
        <w:tc>
          <w:tcPr>
            <w:tcW w:w="126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H5</w:t>
            </w: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I</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Teaching [#19, #20]</w:t>
            </w:r>
          </w:p>
        </w:tc>
        <w:tc>
          <w:tcPr>
            <w:tcW w:w="951"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I1</w:t>
            </w:r>
          </w:p>
        </w:tc>
        <w:tc>
          <w:tcPr>
            <w:tcW w:w="1350"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I2</w:t>
            </w:r>
          </w:p>
        </w:tc>
        <w:tc>
          <w:tcPr>
            <w:tcW w:w="117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I3</w:t>
            </w:r>
          </w:p>
        </w:tc>
        <w:tc>
          <w:tcPr>
            <w:tcW w:w="1234"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I4</w:t>
            </w:r>
          </w:p>
        </w:tc>
        <w:tc>
          <w:tcPr>
            <w:tcW w:w="126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I5</w:t>
            </w: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J</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Business, Accountancy [#04], Law [#14], Vocational Training for Industry [#22.1]</w:t>
            </w:r>
          </w:p>
        </w:tc>
        <w:tc>
          <w:tcPr>
            <w:tcW w:w="951"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J1</w:t>
            </w:r>
          </w:p>
        </w:tc>
        <w:tc>
          <w:tcPr>
            <w:tcW w:w="1350"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J2</w:t>
            </w:r>
          </w:p>
        </w:tc>
        <w:tc>
          <w:tcPr>
            <w:tcW w:w="117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J3</w:t>
            </w:r>
          </w:p>
        </w:tc>
        <w:tc>
          <w:tcPr>
            <w:tcW w:w="1234"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J4</w:t>
            </w:r>
          </w:p>
        </w:tc>
        <w:tc>
          <w:tcPr>
            <w:tcW w:w="126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J5</w:t>
            </w: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L</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Agriculture and Horticulture (non degree) [#01], Osteopathy, Acupuncture [#3.1], Science [#18], Vocational Training for Industry [#22.1], Nursing [#24]</w:t>
            </w:r>
          </w:p>
        </w:tc>
        <w:tc>
          <w:tcPr>
            <w:tcW w:w="951"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L1</w:t>
            </w:r>
          </w:p>
        </w:tc>
        <w:tc>
          <w:tcPr>
            <w:tcW w:w="1350"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L2</w:t>
            </w:r>
          </w:p>
        </w:tc>
        <w:tc>
          <w:tcPr>
            <w:tcW w:w="117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L3</w:t>
            </w:r>
          </w:p>
        </w:tc>
        <w:tc>
          <w:tcPr>
            <w:tcW w:w="1234"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L4</w:t>
            </w:r>
          </w:p>
        </w:tc>
        <w:tc>
          <w:tcPr>
            <w:tcW w:w="126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L5</w:t>
            </w: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M</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Agriculture and Horticulture (degree) [#01], Optometry [#13.1] , Dental Therapy [#17.3]</w:t>
            </w:r>
          </w:p>
        </w:tc>
        <w:tc>
          <w:tcPr>
            <w:tcW w:w="951"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M1</w:t>
            </w:r>
          </w:p>
        </w:tc>
        <w:tc>
          <w:tcPr>
            <w:tcW w:w="1350"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M2</w:t>
            </w:r>
          </w:p>
        </w:tc>
        <w:tc>
          <w:tcPr>
            <w:tcW w:w="117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M3</w:t>
            </w:r>
          </w:p>
        </w:tc>
        <w:tc>
          <w:tcPr>
            <w:tcW w:w="1234"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M4</w:t>
            </w:r>
          </w:p>
        </w:tc>
        <w:tc>
          <w:tcPr>
            <w:tcW w:w="126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M5</w:t>
            </w: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N</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Pharmacy [#31], Dietetics [#36]</w:t>
            </w:r>
          </w:p>
        </w:tc>
        <w:tc>
          <w:tcPr>
            <w:tcW w:w="951" w:type="dxa"/>
            <w:vAlign w:val="center"/>
          </w:tcPr>
          <w:p w:rsidR="006357C5" w:rsidRPr="00DC71B4" w:rsidRDefault="006357C5" w:rsidP="002554CF">
            <w:pPr>
              <w:spacing w:line="240" w:lineRule="auto"/>
              <w:jc w:val="center"/>
              <w:rPr>
                <w:sz w:val="20"/>
                <w:szCs w:val="20"/>
              </w:rPr>
            </w:pPr>
          </w:p>
        </w:tc>
        <w:tc>
          <w:tcPr>
            <w:tcW w:w="1350"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N2</w:t>
            </w:r>
          </w:p>
        </w:tc>
        <w:tc>
          <w:tcPr>
            <w:tcW w:w="1179"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N3</w:t>
            </w:r>
          </w:p>
        </w:tc>
        <w:tc>
          <w:tcPr>
            <w:tcW w:w="1234" w:type="dxa"/>
            <w:vAlign w:val="center"/>
          </w:tcPr>
          <w:p w:rsidR="006357C5" w:rsidRPr="00DC71B4" w:rsidRDefault="006357C5" w:rsidP="002554CF">
            <w:pPr>
              <w:spacing w:line="240" w:lineRule="auto"/>
              <w:jc w:val="center"/>
              <w:rPr>
                <w:sz w:val="20"/>
                <w:szCs w:val="20"/>
              </w:rPr>
            </w:pPr>
          </w:p>
        </w:tc>
        <w:tc>
          <w:tcPr>
            <w:tcW w:w="1269" w:type="dxa"/>
            <w:vAlign w:val="center"/>
          </w:tcPr>
          <w:p w:rsidR="006357C5" w:rsidRPr="00DC71B4" w:rsidRDefault="006357C5" w:rsidP="002554CF">
            <w:pPr>
              <w:spacing w:line="240" w:lineRule="auto"/>
              <w:jc w:val="center"/>
              <w:rPr>
                <w:sz w:val="20"/>
                <w:szCs w:val="20"/>
              </w:rPr>
            </w:pP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O</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Medical Radiation Therapy [#30]</w:t>
            </w:r>
          </w:p>
        </w:tc>
        <w:tc>
          <w:tcPr>
            <w:tcW w:w="951" w:type="dxa"/>
            <w:vAlign w:val="center"/>
          </w:tcPr>
          <w:p w:rsidR="006357C5" w:rsidRPr="00DC71B4" w:rsidRDefault="006357C5" w:rsidP="002554CF">
            <w:pPr>
              <w:spacing w:line="240" w:lineRule="auto"/>
              <w:jc w:val="center"/>
              <w:rPr>
                <w:sz w:val="20"/>
                <w:szCs w:val="20"/>
              </w:rPr>
            </w:pPr>
          </w:p>
        </w:tc>
        <w:tc>
          <w:tcPr>
            <w:tcW w:w="1350"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O2</w:t>
            </w:r>
          </w:p>
        </w:tc>
        <w:tc>
          <w:tcPr>
            <w:tcW w:w="1179" w:type="dxa"/>
            <w:vAlign w:val="center"/>
          </w:tcPr>
          <w:p w:rsidR="006357C5" w:rsidRPr="00DC71B4" w:rsidRDefault="006357C5" w:rsidP="002554CF">
            <w:pPr>
              <w:spacing w:line="240" w:lineRule="auto"/>
              <w:jc w:val="center"/>
              <w:rPr>
                <w:sz w:val="20"/>
                <w:szCs w:val="20"/>
              </w:rPr>
            </w:pPr>
          </w:p>
        </w:tc>
        <w:tc>
          <w:tcPr>
            <w:tcW w:w="1234" w:type="dxa"/>
            <w:vAlign w:val="center"/>
          </w:tcPr>
          <w:p w:rsidR="006357C5" w:rsidRPr="00DC71B4" w:rsidRDefault="006357C5" w:rsidP="002554CF">
            <w:pPr>
              <w:spacing w:line="240" w:lineRule="auto"/>
              <w:jc w:val="center"/>
              <w:rPr>
                <w:sz w:val="20"/>
                <w:szCs w:val="20"/>
              </w:rPr>
            </w:pPr>
          </w:p>
        </w:tc>
        <w:tc>
          <w:tcPr>
            <w:tcW w:w="1269" w:type="dxa"/>
            <w:vAlign w:val="center"/>
          </w:tcPr>
          <w:p w:rsidR="006357C5" w:rsidRPr="00DC71B4" w:rsidRDefault="006357C5" w:rsidP="002554CF">
            <w:pPr>
              <w:spacing w:line="240" w:lineRule="auto"/>
              <w:jc w:val="center"/>
              <w:rPr>
                <w:sz w:val="20"/>
                <w:szCs w:val="20"/>
              </w:rPr>
            </w:pP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lastRenderedPageBreak/>
              <w:t>P</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Trades 2 [#22], Vocational Training for Industry [#22.1]</w:t>
            </w:r>
          </w:p>
        </w:tc>
        <w:tc>
          <w:tcPr>
            <w:tcW w:w="951"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P1</w:t>
            </w:r>
          </w:p>
        </w:tc>
        <w:tc>
          <w:tcPr>
            <w:tcW w:w="1350" w:type="dxa"/>
            <w:vAlign w:val="center"/>
          </w:tcPr>
          <w:p w:rsidR="006357C5" w:rsidRPr="00DC71B4" w:rsidRDefault="006357C5" w:rsidP="002554CF">
            <w:pPr>
              <w:spacing w:line="240" w:lineRule="auto"/>
              <w:jc w:val="center"/>
              <w:rPr>
                <w:sz w:val="20"/>
                <w:szCs w:val="20"/>
              </w:rPr>
            </w:pPr>
          </w:p>
        </w:tc>
        <w:tc>
          <w:tcPr>
            <w:tcW w:w="1179" w:type="dxa"/>
            <w:vAlign w:val="center"/>
          </w:tcPr>
          <w:p w:rsidR="006357C5" w:rsidRPr="00DC71B4" w:rsidRDefault="006357C5" w:rsidP="002554CF">
            <w:pPr>
              <w:spacing w:line="240" w:lineRule="auto"/>
              <w:jc w:val="center"/>
              <w:rPr>
                <w:sz w:val="20"/>
                <w:szCs w:val="20"/>
              </w:rPr>
            </w:pPr>
          </w:p>
        </w:tc>
        <w:tc>
          <w:tcPr>
            <w:tcW w:w="1234"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4</w:t>
            </w:r>
          </w:p>
        </w:tc>
        <w:tc>
          <w:tcPr>
            <w:tcW w:w="1269" w:type="dxa"/>
            <w:vAlign w:val="center"/>
          </w:tcPr>
          <w:p w:rsidR="006357C5" w:rsidRPr="00DC71B4" w:rsidRDefault="006357C5" w:rsidP="002554CF">
            <w:pPr>
              <w:spacing w:line="240" w:lineRule="auto"/>
              <w:jc w:val="center"/>
              <w:rPr>
                <w:sz w:val="20"/>
                <w:szCs w:val="20"/>
              </w:rPr>
            </w:pP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Q</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Veterinary Science (years 3–5) [#23.3]</w:t>
            </w:r>
          </w:p>
        </w:tc>
        <w:tc>
          <w:tcPr>
            <w:tcW w:w="951" w:type="dxa"/>
            <w:vAlign w:val="center"/>
          </w:tcPr>
          <w:p w:rsidR="006357C5" w:rsidRPr="00DC71B4" w:rsidRDefault="006357C5" w:rsidP="002554CF">
            <w:pPr>
              <w:spacing w:line="240" w:lineRule="auto"/>
              <w:jc w:val="center"/>
              <w:rPr>
                <w:sz w:val="20"/>
                <w:szCs w:val="20"/>
              </w:rPr>
            </w:pPr>
          </w:p>
        </w:tc>
        <w:tc>
          <w:tcPr>
            <w:tcW w:w="1350"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Q2</w:t>
            </w:r>
          </w:p>
        </w:tc>
        <w:tc>
          <w:tcPr>
            <w:tcW w:w="1179" w:type="dxa"/>
            <w:vAlign w:val="center"/>
          </w:tcPr>
          <w:p w:rsidR="006357C5" w:rsidRPr="00DC71B4" w:rsidRDefault="006357C5" w:rsidP="002554CF">
            <w:pPr>
              <w:spacing w:line="240" w:lineRule="auto"/>
              <w:jc w:val="center"/>
              <w:rPr>
                <w:sz w:val="20"/>
                <w:szCs w:val="20"/>
              </w:rPr>
            </w:pPr>
          </w:p>
        </w:tc>
        <w:tc>
          <w:tcPr>
            <w:tcW w:w="1234" w:type="dxa"/>
            <w:vAlign w:val="center"/>
          </w:tcPr>
          <w:p w:rsidR="006357C5" w:rsidRPr="00DC71B4" w:rsidRDefault="006357C5" w:rsidP="002554CF">
            <w:pPr>
              <w:spacing w:line="240" w:lineRule="auto"/>
              <w:jc w:val="center"/>
              <w:rPr>
                <w:sz w:val="20"/>
                <w:szCs w:val="20"/>
              </w:rPr>
            </w:pPr>
          </w:p>
        </w:tc>
        <w:tc>
          <w:tcPr>
            <w:tcW w:w="1269" w:type="dxa"/>
            <w:vAlign w:val="center"/>
          </w:tcPr>
          <w:p w:rsidR="006357C5" w:rsidRPr="00DC71B4" w:rsidRDefault="006357C5" w:rsidP="002554CF">
            <w:pPr>
              <w:spacing w:line="240" w:lineRule="auto"/>
              <w:jc w:val="center"/>
              <w:rPr>
                <w:sz w:val="20"/>
                <w:szCs w:val="20"/>
              </w:rPr>
            </w:pP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R</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Dentistry (undergraduate excluding intermediate – years 2-5 ) [#07]</w:t>
            </w:r>
          </w:p>
        </w:tc>
        <w:tc>
          <w:tcPr>
            <w:tcW w:w="951" w:type="dxa"/>
            <w:vAlign w:val="center"/>
          </w:tcPr>
          <w:p w:rsidR="006357C5" w:rsidRPr="00DC71B4" w:rsidRDefault="006357C5" w:rsidP="002554CF">
            <w:pPr>
              <w:spacing w:line="240" w:lineRule="auto"/>
              <w:jc w:val="center"/>
              <w:rPr>
                <w:sz w:val="20"/>
                <w:szCs w:val="20"/>
              </w:rPr>
            </w:pPr>
          </w:p>
        </w:tc>
        <w:tc>
          <w:tcPr>
            <w:tcW w:w="1350"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R2</w:t>
            </w:r>
          </w:p>
        </w:tc>
        <w:tc>
          <w:tcPr>
            <w:tcW w:w="1179" w:type="dxa"/>
            <w:vAlign w:val="center"/>
          </w:tcPr>
          <w:p w:rsidR="006357C5" w:rsidRPr="00DC71B4" w:rsidRDefault="006357C5" w:rsidP="002554CF">
            <w:pPr>
              <w:spacing w:line="240" w:lineRule="auto"/>
              <w:jc w:val="center"/>
              <w:rPr>
                <w:sz w:val="20"/>
                <w:szCs w:val="20"/>
              </w:rPr>
            </w:pPr>
          </w:p>
        </w:tc>
        <w:tc>
          <w:tcPr>
            <w:tcW w:w="1234" w:type="dxa"/>
            <w:vAlign w:val="center"/>
          </w:tcPr>
          <w:p w:rsidR="006357C5" w:rsidRPr="00DC71B4" w:rsidRDefault="006357C5" w:rsidP="002554CF">
            <w:pPr>
              <w:spacing w:line="240" w:lineRule="auto"/>
              <w:jc w:val="center"/>
              <w:rPr>
                <w:sz w:val="20"/>
                <w:szCs w:val="20"/>
              </w:rPr>
            </w:pPr>
          </w:p>
        </w:tc>
        <w:tc>
          <w:tcPr>
            <w:tcW w:w="1269" w:type="dxa"/>
            <w:vAlign w:val="center"/>
          </w:tcPr>
          <w:p w:rsidR="006357C5" w:rsidRPr="00DC71B4" w:rsidRDefault="006357C5" w:rsidP="002554CF">
            <w:pPr>
              <w:spacing w:line="240" w:lineRule="auto"/>
              <w:jc w:val="center"/>
              <w:rPr>
                <w:sz w:val="20"/>
                <w:szCs w:val="20"/>
              </w:rPr>
            </w:pP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S</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Foreign-Going Nautical [#38]</w:t>
            </w:r>
          </w:p>
        </w:tc>
        <w:tc>
          <w:tcPr>
            <w:tcW w:w="951"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S1</w:t>
            </w:r>
          </w:p>
        </w:tc>
        <w:tc>
          <w:tcPr>
            <w:tcW w:w="1350" w:type="dxa"/>
            <w:vAlign w:val="center"/>
          </w:tcPr>
          <w:p w:rsidR="006357C5" w:rsidRPr="00DC71B4" w:rsidRDefault="006357C5" w:rsidP="002554CF">
            <w:pPr>
              <w:spacing w:line="240" w:lineRule="auto"/>
              <w:jc w:val="center"/>
              <w:rPr>
                <w:sz w:val="20"/>
                <w:szCs w:val="20"/>
              </w:rPr>
            </w:pPr>
          </w:p>
        </w:tc>
        <w:tc>
          <w:tcPr>
            <w:tcW w:w="1179" w:type="dxa"/>
            <w:vAlign w:val="center"/>
          </w:tcPr>
          <w:p w:rsidR="006357C5" w:rsidRPr="00DC71B4" w:rsidRDefault="006357C5" w:rsidP="002554CF">
            <w:pPr>
              <w:spacing w:line="240" w:lineRule="auto"/>
              <w:jc w:val="center"/>
              <w:rPr>
                <w:sz w:val="20"/>
                <w:szCs w:val="20"/>
              </w:rPr>
            </w:pPr>
          </w:p>
        </w:tc>
        <w:tc>
          <w:tcPr>
            <w:tcW w:w="1234" w:type="dxa"/>
            <w:vAlign w:val="center"/>
          </w:tcPr>
          <w:p w:rsidR="006357C5" w:rsidRPr="00DC71B4" w:rsidRDefault="006357C5" w:rsidP="002554CF">
            <w:pPr>
              <w:spacing w:line="240" w:lineRule="auto"/>
              <w:jc w:val="center"/>
              <w:rPr>
                <w:sz w:val="20"/>
                <w:szCs w:val="20"/>
              </w:rPr>
            </w:pPr>
          </w:p>
        </w:tc>
        <w:tc>
          <w:tcPr>
            <w:tcW w:w="1269" w:type="dxa"/>
            <w:vAlign w:val="center"/>
          </w:tcPr>
          <w:p w:rsidR="006357C5" w:rsidRPr="00DC71B4" w:rsidRDefault="006357C5" w:rsidP="002554CF">
            <w:pPr>
              <w:spacing w:line="240" w:lineRule="auto"/>
              <w:jc w:val="center"/>
              <w:rPr>
                <w:sz w:val="20"/>
                <w:szCs w:val="20"/>
              </w:rPr>
            </w:pP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T</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Medicine undergraduate (years 2-3 ) [#15]</w:t>
            </w:r>
          </w:p>
        </w:tc>
        <w:tc>
          <w:tcPr>
            <w:tcW w:w="951" w:type="dxa"/>
            <w:vAlign w:val="center"/>
          </w:tcPr>
          <w:p w:rsidR="006357C5" w:rsidRPr="00DC71B4" w:rsidRDefault="006357C5" w:rsidP="002554CF">
            <w:pPr>
              <w:spacing w:line="240" w:lineRule="auto"/>
              <w:jc w:val="center"/>
              <w:rPr>
                <w:sz w:val="20"/>
                <w:szCs w:val="20"/>
              </w:rPr>
            </w:pPr>
          </w:p>
        </w:tc>
        <w:tc>
          <w:tcPr>
            <w:tcW w:w="1350"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T2</w:t>
            </w:r>
          </w:p>
        </w:tc>
        <w:tc>
          <w:tcPr>
            <w:tcW w:w="1179" w:type="dxa"/>
            <w:vAlign w:val="center"/>
          </w:tcPr>
          <w:p w:rsidR="006357C5" w:rsidRPr="00DC71B4" w:rsidRDefault="006357C5" w:rsidP="002554CF">
            <w:pPr>
              <w:spacing w:line="240" w:lineRule="auto"/>
              <w:jc w:val="center"/>
              <w:rPr>
                <w:sz w:val="20"/>
                <w:szCs w:val="20"/>
              </w:rPr>
            </w:pPr>
          </w:p>
        </w:tc>
        <w:tc>
          <w:tcPr>
            <w:tcW w:w="1234" w:type="dxa"/>
            <w:vAlign w:val="center"/>
          </w:tcPr>
          <w:p w:rsidR="006357C5" w:rsidRPr="00DC71B4" w:rsidRDefault="006357C5" w:rsidP="002554CF">
            <w:pPr>
              <w:spacing w:line="240" w:lineRule="auto"/>
              <w:jc w:val="center"/>
              <w:rPr>
                <w:sz w:val="20"/>
                <w:szCs w:val="20"/>
              </w:rPr>
            </w:pPr>
          </w:p>
        </w:tc>
        <w:tc>
          <w:tcPr>
            <w:tcW w:w="1269" w:type="dxa"/>
            <w:vAlign w:val="center"/>
          </w:tcPr>
          <w:p w:rsidR="006357C5" w:rsidRPr="00DC71B4" w:rsidRDefault="006357C5" w:rsidP="002554CF">
            <w:pPr>
              <w:spacing w:line="240" w:lineRule="auto"/>
              <w:jc w:val="center"/>
              <w:rPr>
                <w:sz w:val="20"/>
                <w:szCs w:val="20"/>
              </w:rPr>
            </w:pPr>
          </w:p>
        </w:tc>
      </w:tr>
      <w:tr w:rsidR="006357C5" w:rsidRPr="00DC71B4" w:rsidTr="002554CF">
        <w:tc>
          <w:tcPr>
            <w:tcW w:w="1170" w:type="dxa"/>
            <w:vAlign w:val="center"/>
          </w:tcPr>
          <w:p w:rsidR="006357C5" w:rsidRPr="00DC71B4" w:rsidRDefault="006357C5" w:rsidP="002554CF">
            <w:pPr>
              <w:spacing w:line="240" w:lineRule="auto"/>
              <w:rPr>
                <w:b/>
                <w:bCs/>
                <w:sz w:val="20"/>
                <w:szCs w:val="20"/>
              </w:rPr>
            </w:pPr>
            <w:r w:rsidRPr="00DC71B4">
              <w:rPr>
                <w:rFonts w:ascii="Cambria" w:hAnsi="Cambria" w:cs="Times New Roman"/>
                <w:b/>
                <w:bCs/>
                <w:sz w:val="20"/>
                <w:szCs w:val="20"/>
              </w:rPr>
              <w:t>U</w:t>
            </w:r>
          </w:p>
        </w:tc>
        <w:tc>
          <w:tcPr>
            <w:tcW w:w="2585"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Medicine undergraduate (years 4–6) [#37]</w:t>
            </w:r>
          </w:p>
        </w:tc>
        <w:tc>
          <w:tcPr>
            <w:tcW w:w="951" w:type="dxa"/>
            <w:vAlign w:val="center"/>
          </w:tcPr>
          <w:p w:rsidR="006357C5" w:rsidRPr="00DC71B4" w:rsidRDefault="006357C5" w:rsidP="002554CF">
            <w:pPr>
              <w:spacing w:line="240" w:lineRule="auto"/>
              <w:jc w:val="center"/>
              <w:rPr>
                <w:sz w:val="20"/>
                <w:szCs w:val="20"/>
              </w:rPr>
            </w:pPr>
          </w:p>
        </w:tc>
        <w:tc>
          <w:tcPr>
            <w:tcW w:w="1350" w:type="dxa"/>
            <w:vAlign w:val="center"/>
          </w:tcPr>
          <w:p w:rsidR="006357C5" w:rsidRPr="00DC71B4" w:rsidRDefault="006357C5" w:rsidP="002554CF">
            <w:pPr>
              <w:spacing w:line="240" w:lineRule="auto"/>
              <w:rPr>
                <w:sz w:val="20"/>
                <w:szCs w:val="20"/>
              </w:rPr>
            </w:pPr>
            <w:r w:rsidRPr="00DC71B4">
              <w:rPr>
                <w:rFonts w:ascii="Calibri" w:hAnsi="Calibri" w:cs="Times New Roman"/>
                <w:sz w:val="20"/>
                <w:szCs w:val="20"/>
              </w:rPr>
              <w:t>U2</w:t>
            </w:r>
          </w:p>
        </w:tc>
        <w:tc>
          <w:tcPr>
            <w:tcW w:w="1179" w:type="dxa"/>
            <w:vAlign w:val="center"/>
          </w:tcPr>
          <w:p w:rsidR="006357C5" w:rsidRPr="00DC71B4" w:rsidRDefault="006357C5" w:rsidP="002554CF">
            <w:pPr>
              <w:spacing w:line="240" w:lineRule="auto"/>
              <w:jc w:val="center"/>
              <w:rPr>
                <w:sz w:val="20"/>
                <w:szCs w:val="20"/>
              </w:rPr>
            </w:pPr>
          </w:p>
        </w:tc>
        <w:tc>
          <w:tcPr>
            <w:tcW w:w="1234" w:type="dxa"/>
            <w:vAlign w:val="center"/>
          </w:tcPr>
          <w:p w:rsidR="006357C5" w:rsidRPr="00DC71B4" w:rsidRDefault="006357C5" w:rsidP="002554CF">
            <w:pPr>
              <w:spacing w:line="240" w:lineRule="auto"/>
              <w:jc w:val="center"/>
              <w:rPr>
                <w:sz w:val="20"/>
                <w:szCs w:val="20"/>
              </w:rPr>
            </w:pPr>
          </w:p>
        </w:tc>
        <w:tc>
          <w:tcPr>
            <w:tcW w:w="1269" w:type="dxa"/>
            <w:vAlign w:val="center"/>
          </w:tcPr>
          <w:p w:rsidR="006357C5" w:rsidRPr="00DC71B4" w:rsidRDefault="006357C5" w:rsidP="002554CF">
            <w:pPr>
              <w:spacing w:line="240" w:lineRule="auto"/>
              <w:jc w:val="center"/>
              <w:rPr>
                <w:sz w:val="20"/>
                <w:szCs w:val="20"/>
              </w:rPr>
            </w:pPr>
          </w:p>
        </w:tc>
      </w:tr>
    </w:tbl>
    <w:p w:rsidR="006357C5" w:rsidRPr="00F71402" w:rsidRDefault="006357C5" w:rsidP="006357C5">
      <w:pPr>
        <w:ind w:left="-270"/>
        <w:rPr>
          <w:sz w:val="18"/>
          <w:szCs w:val="18"/>
          <w:lang w:val="fr-HT"/>
        </w:rPr>
      </w:pPr>
      <w:r w:rsidRPr="00575059">
        <w:rPr>
          <w:sz w:val="18"/>
          <w:szCs w:val="18"/>
          <w:u w:val="single"/>
          <w:lang w:val="fr-HT"/>
        </w:rPr>
        <w:t>Source</w:t>
      </w:r>
      <w:r w:rsidRPr="00575059">
        <w:rPr>
          <w:sz w:val="18"/>
          <w:szCs w:val="18"/>
          <w:lang w:val="fr-HT"/>
        </w:rPr>
        <w:t>: http://www.tec.govt.nz</w:t>
      </w:r>
    </w:p>
    <w:p w:rsidR="006357C5" w:rsidRPr="00DF0CD6" w:rsidRDefault="006357C5" w:rsidP="006357C5">
      <w:pPr>
        <w:ind w:firstLine="720"/>
        <w:rPr>
          <w:bCs/>
          <w:lang w:val="fr-HT"/>
        </w:rPr>
      </w:pPr>
    </w:p>
    <w:p w:rsidR="006357C5" w:rsidRPr="00DF0CD6" w:rsidRDefault="006357C5" w:rsidP="006357C5">
      <w:pPr>
        <w:jc w:val="both"/>
        <w:rPr>
          <w:bCs/>
          <w:lang w:val="en-NZ"/>
        </w:rPr>
      </w:pPr>
      <w:r w:rsidRPr="00DF0CD6">
        <w:rPr>
          <w:bCs/>
          <w:lang w:val="en-NZ"/>
        </w:rPr>
        <w:t>As part of the incoming performance-linked funding program, TEIs will soon have access to a performance-linked funding calculator from their workspace, which will allow them to forecast the impact of performance-linked funding on their own funding.</w:t>
      </w:r>
    </w:p>
    <w:p w:rsidR="006357C5" w:rsidRPr="00DF0CD6" w:rsidRDefault="006357C5" w:rsidP="006357C5">
      <w:pPr>
        <w:jc w:val="both"/>
        <w:rPr>
          <w:bCs/>
          <w:lang w:val="en-NZ"/>
        </w:rPr>
      </w:pPr>
    </w:p>
    <w:p w:rsidR="006357C5" w:rsidRDefault="006357C5" w:rsidP="006357C5">
      <w:pPr>
        <w:pStyle w:val="Heading2"/>
      </w:pPr>
      <w:bookmarkStart w:id="92" w:name="_Toc312158934"/>
      <w:bookmarkStart w:id="93" w:name="_Toc315363052"/>
      <w:bookmarkStart w:id="94" w:name="_Toc327186209"/>
      <w:bookmarkStart w:id="95" w:name="_Toc328573833"/>
      <w:bookmarkStart w:id="96" w:name="_Toc345342926"/>
      <w:r w:rsidRPr="00575059">
        <w:t>United Kingdom</w:t>
      </w:r>
      <w:bookmarkEnd w:id="92"/>
      <w:bookmarkEnd w:id="93"/>
      <w:bookmarkEnd w:id="94"/>
      <w:bookmarkEnd w:id="95"/>
      <w:bookmarkEnd w:id="96"/>
    </w:p>
    <w:p w:rsidR="006357C5" w:rsidRPr="00DF0CD6" w:rsidRDefault="006357C5" w:rsidP="006357C5">
      <w:pPr>
        <w:jc w:val="both"/>
        <w:rPr>
          <w:b/>
        </w:rPr>
      </w:pPr>
    </w:p>
    <w:p w:rsidR="006357C5" w:rsidRPr="00801949" w:rsidRDefault="006357C5" w:rsidP="006357C5">
      <w:pPr>
        <w:rPr>
          <w:b/>
        </w:rPr>
      </w:pPr>
      <w:r w:rsidRPr="00801949">
        <w:rPr>
          <w:b/>
        </w:rPr>
        <w:t>A) Overview of tertiary education financing</w:t>
      </w:r>
    </w:p>
    <w:p w:rsidR="006357C5" w:rsidRPr="00DF0CD6" w:rsidRDefault="006357C5" w:rsidP="006357C5">
      <w:pPr>
        <w:jc w:val="both"/>
        <w:rPr>
          <w:iCs/>
        </w:rPr>
      </w:pPr>
    </w:p>
    <w:p w:rsidR="006357C5" w:rsidRPr="00DF0CD6" w:rsidRDefault="006357C5" w:rsidP="006357C5">
      <w:pPr>
        <w:jc w:val="both"/>
        <w:rPr>
          <w:iCs/>
        </w:rPr>
      </w:pPr>
      <w:r w:rsidRPr="00DF0CD6">
        <w:rPr>
          <w:iCs/>
        </w:rPr>
        <w:t>The United Kingdom (UK), with a population of over 60 million people and a GDP per capita of US$35,151, has a rate of public social expenditure that is significantly higher to those of other Anglo-Saxon OECD economies. However, if the country has a public social expenditure of over 20% of GDP, only 0.68% is spent by the government on tertiary education</w:t>
      </w:r>
      <w:r w:rsidRPr="00DF0CD6">
        <w:rPr>
          <w:iCs/>
          <w:vertAlign w:val="superscript"/>
        </w:rPr>
        <w:footnoteReference w:id="17"/>
      </w:r>
      <w:r w:rsidRPr="00DF0CD6">
        <w:rPr>
          <w:iCs/>
        </w:rPr>
        <w:t>. This speaks to the large degree of privatism in the system: in fact, most tertiary education institutions are government-dependent private organizations. Consistently with a system of privatism and large access to tertiary education, the UK has</w:t>
      </w:r>
      <w:r>
        <w:rPr>
          <w:iCs/>
        </w:rPr>
        <w:t xml:space="preserve"> </w:t>
      </w:r>
      <w:r w:rsidRPr="00DF0CD6">
        <w:rPr>
          <w:iCs/>
        </w:rPr>
        <w:t xml:space="preserve">a student aid system (SAS) that is large: 94.5% of tertiary students benefit from public loans and/or scholarships or grants, and 31.2% of what the government spends on tertiary education goes into student loans, scholarships and other grants to households (OECD 2011, 256 – 264). Finally, the UK is interesting for this comparative exercise because its SAS has been subjected to two major reforms in the last decade, introduced by the 2004 Higher Education Support Act and the 2010 reforms following the Browne Review. </w:t>
      </w:r>
    </w:p>
    <w:p w:rsidR="006357C5" w:rsidRDefault="006357C5" w:rsidP="006357C5">
      <w:pPr>
        <w:jc w:val="both"/>
        <w:rPr>
          <w:iCs/>
        </w:rPr>
      </w:pPr>
    </w:p>
    <w:p w:rsidR="006357C5" w:rsidRDefault="006357C5" w:rsidP="006357C5">
      <w:pPr>
        <w:jc w:val="both"/>
        <w:rPr>
          <w:iCs/>
        </w:rPr>
      </w:pPr>
      <w:r w:rsidRPr="00DF0CD6">
        <w:rPr>
          <w:iCs/>
        </w:rPr>
        <w:t xml:space="preserve">Table </w:t>
      </w:r>
      <w:r>
        <w:rPr>
          <w:iCs/>
        </w:rPr>
        <w:t>66</w:t>
      </w:r>
      <w:r w:rsidRPr="00DF0CD6">
        <w:rPr>
          <w:iCs/>
        </w:rPr>
        <w:t xml:space="preserve"> reports some basic facts corresponding to the UK, which will allow us to frame the evidence about its tertiary education finance and specifically its student aid system. Annex 2 presents this and additional data in the context of international comparison with other OECD economies. </w:t>
      </w:r>
    </w:p>
    <w:p w:rsidR="006357C5" w:rsidRDefault="006357C5" w:rsidP="006357C5">
      <w:pPr>
        <w:jc w:val="both"/>
        <w:rPr>
          <w:iCs/>
        </w:rPr>
      </w:pPr>
    </w:p>
    <w:p w:rsidR="006357C5" w:rsidRDefault="006357C5" w:rsidP="006357C5">
      <w:pPr>
        <w:pStyle w:val="TableHeading"/>
      </w:pPr>
      <w:bookmarkStart w:id="97" w:name="_Toc328382228"/>
      <w:bookmarkStart w:id="98" w:name="_Toc328742912"/>
      <w:r w:rsidRPr="00FD700B">
        <w:t>Table 66:</w:t>
      </w:r>
      <w:r>
        <w:t xml:space="preserve"> </w:t>
      </w:r>
      <w:r w:rsidRPr="00FD700B">
        <w:t>United Kingdom: Basic facts</w:t>
      </w:r>
      <w:bookmarkEnd w:id="97"/>
      <w:bookmarkEnd w:id="98"/>
    </w:p>
    <w:p w:rsidR="006357C5" w:rsidRPr="00FD700B" w:rsidRDefault="006357C5" w:rsidP="006357C5">
      <w:pPr>
        <w:pStyle w:val="TableHeading"/>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48"/>
        <w:gridCol w:w="3528"/>
      </w:tblGrid>
      <w:tr w:rsidR="006357C5" w:rsidRPr="00DC71B4" w:rsidTr="002554CF">
        <w:trPr>
          <w:jc w:val="center"/>
        </w:trPr>
        <w:tc>
          <w:tcPr>
            <w:tcW w:w="6048" w:type="dxa"/>
            <w:vAlign w:val="center"/>
          </w:tcPr>
          <w:p w:rsidR="006357C5" w:rsidRPr="00DC71B4" w:rsidRDefault="006357C5" w:rsidP="002554CF">
            <w:pPr>
              <w:rPr>
                <w:iCs/>
                <w:sz w:val="20"/>
                <w:szCs w:val="20"/>
              </w:rPr>
            </w:pPr>
            <w:r w:rsidRPr="00DC71B4">
              <w:rPr>
                <w:iCs/>
                <w:sz w:val="20"/>
                <w:szCs w:val="20"/>
              </w:rPr>
              <w:t>Population (millions) (2010)</w:t>
            </w:r>
          </w:p>
        </w:tc>
        <w:tc>
          <w:tcPr>
            <w:tcW w:w="3528" w:type="dxa"/>
            <w:vAlign w:val="center"/>
          </w:tcPr>
          <w:p w:rsidR="006357C5" w:rsidRPr="00DC71B4" w:rsidRDefault="006357C5" w:rsidP="002554CF">
            <w:pPr>
              <w:rPr>
                <w:iCs/>
                <w:sz w:val="20"/>
                <w:szCs w:val="20"/>
              </w:rPr>
            </w:pPr>
            <w:r w:rsidRPr="00DC71B4">
              <w:rPr>
                <w:iCs/>
                <w:sz w:val="20"/>
                <w:szCs w:val="20"/>
              </w:rPr>
              <w:t>61.35</w:t>
            </w:r>
          </w:p>
        </w:tc>
      </w:tr>
      <w:tr w:rsidR="006357C5" w:rsidRPr="00DC71B4" w:rsidTr="002554CF">
        <w:trPr>
          <w:jc w:val="center"/>
        </w:trPr>
        <w:tc>
          <w:tcPr>
            <w:tcW w:w="6048" w:type="dxa"/>
            <w:vAlign w:val="center"/>
          </w:tcPr>
          <w:p w:rsidR="006357C5" w:rsidRPr="00DC71B4" w:rsidRDefault="006357C5" w:rsidP="002554CF">
            <w:pPr>
              <w:rPr>
                <w:iCs/>
                <w:sz w:val="20"/>
                <w:szCs w:val="20"/>
              </w:rPr>
            </w:pPr>
            <w:r w:rsidRPr="00DC71B4">
              <w:rPr>
                <w:iCs/>
                <w:sz w:val="20"/>
                <w:szCs w:val="20"/>
              </w:rPr>
              <w:t>GDP per capita (US$, current prices and PPP) (2010)</w:t>
            </w:r>
          </w:p>
        </w:tc>
        <w:tc>
          <w:tcPr>
            <w:tcW w:w="3528" w:type="dxa"/>
            <w:vAlign w:val="center"/>
          </w:tcPr>
          <w:p w:rsidR="006357C5" w:rsidRPr="00DC71B4" w:rsidRDefault="006357C5" w:rsidP="002554CF">
            <w:pPr>
              <w:rPr>
                <w:iCs/>
                <w:sz w:val="20"/>
                <w:szCs w:val="20"/>
              </w:rPr>
            </w:pPr>
            <w:r w:rsidRPr="00DC71B4">
              <w:rPr>
                <w:iCs/>
                <w:sz w:val="20"/>
                <w:szCs w:val="20"/>
              </w:rPr>
              <w:t>35,151</w:t>
            </w:r>
          </w:p>
        </w:tc>
      </w:tr>
      <w:tr w:rsidR="006357C5" w:rsidRPr="00DC71B4" w:rsidTr="002554CF">
        <w:trPr>
          <w:jc w:val="center"/>
        </w:trPr>
        <w:tc>
          <w:tcPr>
            <w:tcW w:w="6048" w:type="dxa"/>
            <w:vAlign w:val="center"/>
          </w:tcPr>
          <w:p w:rsidR="006357C5" w:rsidRPr="00DC71B4" w:rsidRDefault="006357C5" w:rsidP="002554CF">
            <w:pPr>
              <w:rPr>
                <w:iCs/>
                <w:sz w:val="20"/>
                <w:szCs w:val="20"/>
              </w:rPr>
            </w:pPr>
            <w:r w:rsidRPr="00DC71B4">
              <w:rPr>
                <w:iCs/>
                <w:sz w:val="20"/>
                <w:szCs w:val="20"/>
              </w:rPr>
              <w:t>Gini coefficient (late 2000’s)</w:t>
            </w:r>
          </w:p>
        </w:tc>
        <w:tc>
          <w:tcPr>
            <w:tcW w:w="3528" w:type="dxa"/>
            <w:vAlign w:val="center"/>
          </w:tcPr>
          <w:p w:rsidR="006357C5" w:rsidRPr="00DC71B4" w:rsidRDefault="006357C5" w:rsidP="002554CF">
            <w:pPr>
              <w:rPr>
                <w:iCs/>
                <w:sz w:val="20"/>
                <w:szCs w:val="20"/>
              </w:rPr>
            </w:pPr>
            <w:r w:rsidRPr="00DC71B4">
              <w:rPr>
                <w:iCs/>
                <w:sz w:val="20"/>
                <w:szCs w:val="20"/>
              </w:rPr>
              <w:t>0.35</w:t>
            </w:r>
          </w:p>
        </w:tc>
      </w:tr>
      <w:tr w:rsidR="006357C5" w:rsidRPr="00DC71B4" w:rsidTr="002554CF">
        <w:trPr>
          <w:jc w:val="center"/>
        </w:trPr>
        <w:tc>
          <w:tcPr>
            <w:tcW w:w="6048" w:type="dxa"/>
            <w:vAlign w:val="center"/>
          </w:tcPr>
          <w:p w:rsidR="006357C5" w:rsidRPr="00DC71B4" w:rsidRDefault="006357C5" w:rsidP="002554CF">
            <w:pPr>
              <w:rPr>
                <w:iCs/>
                <w:sz w:val="20"/>
                <w:szCs w:val="20"/>
              </w:rPr>
            </w:pPr>
            <w:r w:rsidRPr="00DC71B4">
              <w:rPr>
                <w:iCs/>
                <w:sz w:val="20"/>
                <w:szCs w:val="20"/>
              </w:rPr>
              <w:t>Total tax revenue as a percentage of GDP (2010)</w:t>
            </w:r>
          </w:p>
        </w:tc>
        <w:tc>
          <w:tcPr>
            <w:tcW w:w="3528" w:type="dxa"/>
            <w:vAlign w:val="center"/>
          </w:tcPr>
          <w:p w:rsidR="006357C5" w:rsidRPr="00DC71B4" w:rsidRDefault="006357C5" w:rsidP="002554CF">
            <w:pPr>
              <w:rPr>
                <w:iCs/>
                <w:sz w:val="20"/>
                <w:szCs w:val="20"/>
              </w:rPr>
            </w:pPr>
            <w:r w:rsidRPr="00DC71B4">
              <w:rPr>
                <w:iCs/>
                <w:sz w:val="20"/>
                <w:szCs w:val="20"/>
              </w:rPr>
              <w:t>35.0</w:t>
            </w:r>
          </w:p>
        </w:tc>
      </w:tr>
      <w:tr w:rsidR="006357C5" w:rsidRPr="00DC71B4" w:rsidTr="002554CF">
        <w:trPr>
          <w:jc w:val="center"/>
        </w:trPr>
        <w:tc>
          <w:tcPr>
            <w:tcW w:w="6048" w:type="dxa"/>
            <w:vAlign w:val="center"/>
          </w:tcPr>
          <w:p w:rsidR="006357C5" w:rsidRPr="00DC71B4" w:rsidRDefault="006357C5" w:rsidP="002554CF">
            <w:pPr>
              <w:rPr>
                <w:iCs/>
                <w:sz w:val="20"/>
                <w:szCs w:val="20"/>
              </w:rPr>
            </w:pPr>
            <w:r w:rsidRPr="00DC71B4">
              <w:rPr>
                <w:iCs/>
                <w:sz w:val="20"/>
                <w:szCs w:val="20"/>
              </w:rPr>
              <w:t>Public social expenditure as a percentage of GDP (2007)</w:t>
            </w:r>
          </w:p>
        </w:tc>
        <w:tc>
          <w:tcPr>
            <w:tcW w:w="3528" w:type="dxa"/>
            <w:vAlign w:val="center"/>
          </w:tcPr>
          <w:p w:rsidR="006357C5" w:rsidRPr="00DC71B4" w:rsidRDefault="006357C5" w:rsidP="002554CF">
            <w:pPr>
              <w:rPr>
                <w:iCs/>
                <w:sz w:val="20"/>
                <w:szCs w:val="20"/>
              </w:rPr>
            </w:pPr>
            <w:r w:rsidRPr="00DC71B4">
              <w:rPr>
                <w:iCs/>
                <w:sz w:val="20"/>
                <w:szCs w:val="20"/>
              </w:rPr>
              <w:t>20.54</w:t>
            </w:r>
          </w:p>
        </w:tc>
      </w:tr>
      <w:tr w:rsidR="006357C5" w:rsidRPr="00DC71B4" w:rsidTr="002554CF">
        <w:trPr>
          <w:jc w:val="center"/>
        </w:trPr>
        <w:tc>
          <w:tcPr>
            <w:tcW w:w="6048" w:type="dxa"/>
            <w:vAlign w:val="center"/>
          </w:tcPr>
          <w:p w:rsidR="006357C5" w:rsidRPr="00DC71B4" w:rsidRDefault="006357C5" w:rsidP="002554CF">
            <w:pPr>
              <w:rPr>
                <w:iCs/>
                <w:sz w:val="20"/>
                <w:szCs w:val="20"/>
              </w:rPr>
            </w:pPr>
            <w:r w:rsidRPr="00DC71B4">
              <w:rPr>
                <w:iCs/>
                <w:sz w:val="20"/>
                <w:szCs w:val="20"/>
              </w:rPr>
              <w:t>Public expenditure on tertiary education as a percentage of GDP (2008)</w:t>
            </w:r>
          </w:p>
        </w:tc>
        <w:tc>
          <w:tcPr>
            <w:tcW w:w="3528" w:type="dxa"/>
            <w:vAlign w:val="center"/>
          </w:tcPr>
          <w:p w:rsidR="006357C5" w:rsidRPr="00DC71B4" w:rsidRDefault="006357C5" w:rsidP="002554CF">
            <w:pPr>
              <w:rPr>
                <w:iCs/>
                <w:sz w:val="20"/>
                <w:szCs w:val="20"/>
              </w:rPr>
            </w:pPr>
            <w:r w:rsidRPr="00DC71B4">
              <w:rPr>
                <w:iCs/>
                <w:sz w:val="20"/>
                <w:szCs w:val="20"/>
              </w:rPr>
              <w:t>0.63</w:t>
            </w:r>
          </w:p>
        </w:tc>
      </w:tr>
      <w:tr w:rsidR="006357C5" w:rsidRPr="00DC71B4" w:rsidTr="002554CF">
        <w:trPr>
          <w:jc w:val="center"/>
        </w:trPr>
        <w:tc>
          <w:tcPr>
            <w:tcW w:w="6048" w:type="dxa"/>
            <w:vAlign w:val="center"/>
          </w:tcPr>
          <w:p w:rsidR="006357C5" w:rsidRPr="00DC71B4" w:rsidRDefault="006357C5" w:rsidP="002554CF">
            <w:pPr>
              <w:rPr>
                <w:iCs/>
                <w:sz w:val="20"/>
                <w:szCs w:val="20"/>
              </w:rPr>
            </w:pPr>
            <w:r w:rsidRPr="00DC71B4">
              <w:rPr>
                <w:iCs/>
                <w:sz w:val="20"/>
                <w:szCs w:val="20"/>
              </w:rPr>
              <w:t>Private expenditure on tertiary education as a percentage of GDP (2008)</w:t>
            </w:r>
          </w:p>
        </w:tc>
        <w:tc>
          <w:tcPr>
            <w:tcW w:w="3528" w:type="dxa"/>
            <w:vAlign w:val="center"/>
          </w:tcPr>
          <w:p w:rsidR="006357C5" w:rsidRPr="00DC71B4" w:rsidRDefault="006357C5" w:rsidP="002554CF">
            <w:pPr>
              <w:rPr>
                <w:iCs/>
                <w:sz w:val="20"/>
                <w:szCs w:val="20"/>
              </w:rPr>
            </w:pPr>
            <w:r w:rsidRPr="00DC71B4">
              <w:rPr>
                <w:iCs/>
                <w:sz w:val="20"/>
                <w:szCs w:val="20"/>
              </w:rPr>
              <w:t>0.56</w:t>
            </w:r>
          </w:p>
        </w:tc>
      </w:tr>
      <w:tr w:rsidR="006357C5" w:rsidRPr="00DC71B4" w:rsidTr="002554CF">
        <w:trPr>
          <w:jc w:val="center"/>
        </w:trPr>
        <w:tc>
          <w:tcPr>
            <w:tcW w:w="6048" w:type="dxa"/>
            <w:vAlign w:val="center"/>
          </w:tcPr>
          <w:p w:rsidR="006357C5" w:rsidRPr="00DC71B4" w:rsidRDefault="006357C5" w:rsidP="002554CF">
            <w:pPr>
              <w:rPr>
                <w:iCs/>
                <w:sz w:val="20"/>
                <w:szCs w:val="20"/>
              </w:rPr>
            </w:pPr>
            <w:r w:rsidRPr="00DC71B4">
              <w:rPr>
                <w:iCs/>
                <w:sz w:val="20"/>
                <w:szCs w:val="20"/>
              </w:rPr>
              <w:t>Total number of students enrolled in tertiary education institutions, both public and private (in millions) (2009)</w:t>
            </w:r>
          </w:p>
        </w:tc>
        <w:tc>
          <w:tcPr>
            <w:tcW w:w="3528" w:type="dxa"/>
            <w:vAlign w:val="center"/>
          </w:tcPr>
          <w:p w:rsidR="006357C5" w:rsidRPr="00DC71B4" w:rsidRDefault="006357C5" w:rsidP="002554CF">
            <w:pPr>
              <w:rPr>
                <w:iCs/>
                <w:sz w:val="20"/>
                <w:szCs w:val="20"/>
              </w:rPr>
            </w:pPr>
            <w:r w:rsidRPr="00DC71B4">
              <w:rPr>
                <w:iCs/>
                <w:sz w:val="20"/>
                <w:szCs w:val="20"/>
              </w:rPr>
              <w:t>2.41</w:t>
            </w:r>
          </w:p>
        </w:tc>
      </w:tr>
      <w:tr w:rsidR="006357C5" w:rsidRPr="00DC71B4" w:rsidTr="002554CF">
        <w:trPr>
          <w:jc w:val="center"/>
        </w:trPr>
        <w:tc>
          <w:tcPr>
            <w:tcW w:w="6048" w:type="dxa"/>
            <w:vAlign w:val="center"/>
          </w:tcPr>
          <w:p w:rsidR="006357C5" w:rsidRPr="00DC71B4" w:rsidRDefault="006357C5" w:rsidP="002554CF">
            <w:pPr>
              <w:ind w:firstLine="720"/>
              <w:rPr>
                <w:iCs/>
                <w:sz w:val="20"/>
                <w:szCs w:val="20"/>
              </w:rPr>
            </w:pPr>
            <w:r w:rsidRPr="00DC71B4">
              <w:rPr>
                <w:iCs/>
                <w:sz w:val="20"/>
                <w:szCs w:val="20"/>
              </w:rPr>
              <w:t>Proportion of students who benefit from public loans and/or scholarships/grants (2008-2009)</w:t>
            </w:r>
          </w:p>
        </w:tc>
        <w:tc>
          <w:tcPr>
            <w:tcW w:w="3528" w:type="dxa"/>
            <w:vAlign w:val="center"/>
          </w:tcPr>
          <w:p w:rsidR="006357C5" w:rsidRPr="00DC71B4" w:rsidRDefault="006357C5" w:rsidP="002554CF">
            <w:pPr>
              <w:rPr>
                <w:iCs/>
                <w:sz w:val="20"/>
                <w:szCs w:val="20"/>
              </w:rPr>
            </w:pPr>
            <w:r w:rsidRPr="00DC71B4">
              <w:rPr>
                <w:iCs/>
                <w:sz w:val="20"/>
                <w:szCs w:val="20"/>
              </w:rPr>
              <w:t>94.5</w:t>
            </w:r>
          </w:p>
        </w:tc>
      </w:tr>
      <w:tr w:rsidR="006357C5" w:rsidRPr="00DC71B4" w:rsidTr="002554CF">
        <w:trPr>
          <w:jc w:val="center"/>
        </w:trPr>
        <w:tc>
          <w:tcPr>
            <w:tcW w:w="6048" w:type="dxa"/>
            <w:vAlign w:val="center"/>
          </w:tcPr>
          <w:p w:rsidR="006357C5" w:rsidRPr="00DC71B4" w:rsidRDefault="006357C5" w:rsidP="002554CF">
            <w:pPr>
              <w:rPr>
                <w:iCs/>
                <w:sz w:val="20"/>
                <w:szCs w:val="20"/>
              </w:rPr>
            </w:pPr>
            <w:r w:rsidRPr="00DC71B4">
              <w:rPr>
                <w:iCs/>
                <w:sz w:val="20"/>
                <w:szCs w:val="20"/>
              </w:rPr>
              <w:t>Student loans as a percentage of total public expenditure on tertiary education (2008)</w:t>
            </w:r>
          </w:p>
        </w:tc>
        <w:tc>
          <w:tcPr>
            <w:tcW w:w="3528" w:type="dxa"/>
            <w:vAlign w:val="center"/>
          </w:tcPr>
          <w:p w:rsidR="006357C5" w:rsidRPr="00DC71B4" w:rsidRDefault="006357C5" w:rsidP="002554CF">
            <w:pPr>
              <w:rPr>
                <w:iCs/>
                <w:sz w:val="20"/>
                <w:szCs w:val="20"/>
              </w:rPr>
            </w:pPr>
            <w:r w:rsidRPr="00DC71B4">
              <w:rPr>
                <w:iCs/>
                <w:sz w:val="20"/>
                <w:szCs w:val="20"/>
              </w:rPr>
              <w:t>27.7</w:t>
            </w:r>
          </w:p>
        </w:tc>
      </w:tr>
      <w:tr w:rsidR="006357C5" w:rsidRPr="00DC71B4" w:rsidTr="002554CF">
        <w:trPr>
          <w:jc w:val="center"/>
        </w:trPr>
        <w:tc>
          <w:tcPr>
            <w:tcW w:w="6048" w:type="dxa"/>
            <w:vAlign w:val="center"/>
          </w:tcPr>
          <w:p w:rsidR="006357C5" w:rsidRPr="00DC71B4" w:rsidRDefault="006357C5" w:rsidP="002554CF">
            <w:pPr>
              <w:rPr>
                <w:iCs/>
                <w:sz w:val="20"/>
                <w:szCs w:val="20"/>
              </w:rPr>
            </w:pPr>
            <w:r w:rsidRPr="00DC71B4">
              <w:rPr>
                <w:iCs/>
                <w:sz w:val="20"/>
                <w:szCs w:val="20"/>
              </w:rPr>
              <w:t>Scholarships and other grants to households as percentage of total public expenditure on tertiary education (2008)</w:t>
            </w:r>
          </w:p>
        </w:tc>
        <w:tc>
          <w:tcPr>
            <w:tcW w:w="3528" w:type="dxa"/>
            <w:vAlign w:val="center"/>
          </w:tcPr>
          <w:p w:rsidR="006357C5" w:rsidRPr="00DC71B4" w:rsidRDefault="006357C5" w:rsidP="002554CF">
            <w:pPr>
              <w:rPr>
                <w:iCs/>
                <w:sz w:val="20"/>
                <w:szCs w:val="20"/>
              </w:rPr>
            </w:pPr>
            <w:r w:rsidRPr="00DC71B4">
              <w:rPr>
                <w:iCs/>
                <w:sz w:val="20"/>
                <w:szCs w:val="20"/>
              </w:rPr>
              <w:t>3.5</w:t>
            </w:r>
          </w:p>
        </w:tc>
      </w:tr>
    </w:tbl>
    <w:p w:rsidR="006357C5" w:rsidRDefault="006357C5" w:rsidP="006357C5">
      <w:pPr>
        <w:ind w:left="-90"/>
        <w:jc w:val="both"/>
        <w:rPr>
          <w:iCs/>
          <w:sz w:val="18"/>
          <w:szCs w:val="18"/>
        </w:rPr>
      </w:pPr>
      <w:r w:rsidRPr="007A5938">
        <w:rPr>
          <w:sz w:val="18"/>
          <w:u w:val="single"/>
        </w:rPr>
        <w:t xml:space="preserve">Source: </w:t>
      </w:r>
      <w:r w:rsidRPr="00575059">
        <w:rPr>
          <w:iCs/>
          <w:sz w:val="18"/>
          <w:szCs w:val="18"/>
        </w:rPr>
        <w:t>OECD</w:t>
      </w:r>
    </w:p>
    <w:p w:rsidR="006357C5" w:rsidRPr="000B0676" w:rsidRDefault="006357C5" w:rsidP="006357C5">
      <w:pPr>
        <w:jc w:val="both"/>
        <w:rPr>
          <w:iCs/>
          <w:sz w:val="18"/>
          <w:szCs w:val="18"/>
        </w:rPr>
      </w:pPr>
    </w:p>
    <w:p w:rsidR="006357C5" w:rsidRPr="00DF0CD6" w:rsidRDefault="006357C5" w:rsidP="006357C5">
      <w:pPr>
        <w:jc w:val="both"/>
        <w:rPr>
          <w:iCs/>
        </w:rPr>
      </w:pPr>
      <w:r w:rsidRPr="00DF0CD6">
        <w:rPr>
          <w:iCs/>
        </w:rPr>
        <w:t xml:space="preserve">Through which mechanisms does the British Government invest in tertiary education? </w:t>
      </w:r>
    </w:p>
    <w:p w:rsidR="006357C5" w:rsidRPr="00DF0CD6" w:rsidRDefault="006357C5" w:rsidP="006357C5">
      <w:pPr>
        <w:jc w:val="both"/>
        <w:rPr>
          <w:iCs/>
        </w:rPr>
      </w:pPr>
      <w:r w:rsidRPr="00DF0CD6">
        <w:rPr>
          <w:iCs/>
        </w:rPr>
        <w:t>The Government decides annually the total public funding for higher education in England. The Higher Education Funding Council for England (HEFCE) is responsible for distributing this money within broad policy guidelines provided by the Secretary of State for Business, Innovation and Skills</w:t>
      </w:r>
      <w:r w:rsidRPr="00DF0CD6">
        <w:rPr>
          <w:iCs/>
          <w:vertAlign w:val="superscript"/>
        </w:rPr>
        <w:footnoteReference w:id="18"/>
      </w:r>
      <w:r w:rsidRPr="00DF0CD6">
        <w:rPr>
          <w:iCs/>
        </w:rPr>
        <w:t xml:space="preserve">. Periodically, HEFCE advises the Secretary of State on the funding needs of higher education in England. In academic year 2010-11 HEFCE directly funded 130 higher education institutions and 123 further education colleges that provide higher education courses. HEFCE allocates funds to each of these universities and colleges to support teaching, research and related activities. Money for teaching, research and the Higher Education Innovation Fund is referred to as ‘recurrent funding’ and constitutes almost 90% of what HEFCE distributes (see Figure </w:t>
      </w:r>
      <w:r>
        <w:rPr>
          <w:iCs/>
        </w:rPr>
        <w:t>37</w:t>
      </w:r>
      <w:r w:rsidRPr="00DF0CD6">
        <w:rPr>
          <w:iCs/>
        </w:rPr>
        <w:t>). The remainder is referred to as ‘non-recurrent funding’, and it comprises grants for capital projects, other development initiatives and support for national facilities. These are announced as they are allocated, which may be at any time of the year. Furthermore, to help support institutions in managing changes to grant funding, HEFCE phases them by moderating increases or decreases in teaching and research funding: this is carried out through the ‘moderation fund’.</w:t>
      </w:r>
    </w:p>
    <w:p w:rsidR="006357C5" w:rsidRPr="00DF0CD6" w:rsidRDefault="006357C5" w:rsidP="006357C5">
      <w:pPr>
        <w:jc w:val="both"/>
        <w:rPr>
          <w:iCs/>
        </w:rPr>
      </w:pPr>
    </w:p>
    <w:p w:rsidR="006357C5" w:rsidRDefault="006357C5" w:rsidP="006357C5">
      <w:pPr>
        <w:jc w:val="both"/>
        <w:rPr>
          <w:bCs/>
          <w:iCs/>
        </w:rPr>
      </w:pPr>
      <w:r w:rsidRPr="00DF0CD6">
        <w:rPr>
          <w:iCs/>
        </w:rPr>
        <w:t>HEFCE distributes most of its funds between institutions using formulae.</w:t>
      </w:r>
      <w:r>
        <w:rPr>
          <w:iCs/>
        </w:rPr>
        <w:t xml:space="preserve"> </w:t>
      </w:r>
      <w:r w:rsidRPr="00DF0CD6">
        <w:rPr>
          <w:iCs/>
        </w:rPr>
        <w:t>Any funding formula will generally require a measure of volume (e.g. how many students or research-active staff does an institution have?), a measure of cost</w:t>
      </w:r>
      <w:r w:rsidRPr="00DF0CD6">
        <w:rPr>
          <w:iCs/>
          <w:vertAlign w:val="superscript"/>
        </w:rPr>
        <w:footnoteReference w:id="19"/>
      </w:r>
      <w:r w:rsidRPr="00DF0CD6">
        <w:rPr>
          <w:iCs/>
        </w:rPr>
        <w:t xml:space="preserve"> (e.g. how does the cost of physics differ from </w:t>
      </w:r>
      <w:r w:rsidRPr="00DF0CD6">
        <w:rPr>
          <w:iCs/>
        </w:rPr>
        <w:lastRenderedPageBreak/>
        <w:t xml:space="preserve">that of geography or business studies?) and, in some occasions, some account of particular policy priorities (e.g. is there a national need to give more priority to some activities than others?). For the main teaching grant, </w:t>
      </w:r>
      <w:r w:rsidRPr="00DF0CD6">
        <w:rPr>
          <w:bCs/>
          <w:iCs/>
        </w:rPr>
        <w:t xml:space="preserve">the volume measure is based on the number of students at the institution. However, students are only fully counted if they complete their full year of study. </w:t>
      </w:r>
    </w:p>
    <w:p w:rsidR="006357C5" w:rsidRDefault="006357C5" w:rsidP="006357C5">
      <w:pPr>
        <w:jc w:val="both"/>
        <w:rPr>
          <w:iCs/>
        </w:rPr>
      </w:pPr>
      <w:r w:rsidRPr="00DF0CD6">
        <w:rPr>
          <w:iCs/>
        </w:rPr>
        <w:t>Every year HEFCE draws up funding agreements with each institution, which establishes the amount of recurrent funding allocated to them as well as targets relating to the amount of teaching activity the institution is expected to provide in return for that funding</w:t>
      </w:r>
      <w:r w:rsidRPr="00DF0CD6">
        <w:rPr>
          <w:iCs/>
          <w:vertAlign w:val="superscript"/>
        </w:rPr>
        <w:footnoteReference w:id="20"/>
      </w:r>
      <w:r w:rsidRPr="00DF0CD6">
        <w:rPr>
          <w:iCs/>
        </w:rPr>
        <w:t xml:space="preserve">. </w:t>
      </w:r>
      <w:r w:rsidRPr="00DF0CD6">
        <w:rPr>
          <w:iCs/>
          <w:lang w:val="en-GB"/>
        </w:rPr>
        <w:t>HEFCE then adjusts institutions’ funding within the year (either increasing or decreasing it) to reflect how they have met their funding agreement targets.</w:t>
      </w:r>
      <w:bookmarkStart w:id="99" w:name="_Ref131303121"/>
      <w:r>
        <w:rPr>
          <w:iCs/>
          <w:lang w:val="en-GB"/>
        </w:rPr>
        <w:t xml:space="preserve"> </w:t>
      </w:r>
      <w:r w:rsidRPr="00DF0CD6">
        <w:rPr>
          <w:iCs/>
        </w:rPr>
        <w:t>Public research funds are provided under a system known as ‘dual support’:</w:t>
      </w:r>
      <w:r>
        <w:rPr>
          <w:iCs/>
        </w:rPr>
        <w:t xml:space="preserve"> </w:t>
      </w:r>
      <w:r w:rsidRPr="00DF0CD6">
        <w:rPr>
          <w:iCs/>
        </w:rPr>
        <w:t xml:space="preserve">HEFCE funds the cost of the salaries of permanent academic staff, premises, libraries and central computing costs, whereas the UK Research Councils provide funding for specific programs and projects. Research allocation responds to the outcomes of previous Research Assessment Exercise (RAE) reviews. </w:t>
      </w:r>
      <w:bookmarkEnd w:id="99"/>
      <w:r w:rsidRPr="00DF0CD6">
        <w:rPr>
          <w:iCs/>
        </w:rPr>
        <w:t>RAE is a UK-wide peer-review exercise that produces quality ratings for those research groups that institutions choose to submit for assessment in different subject areas. The Research Councils fund research on a competitive basis employing independent expert peer review.</w:t>
      </w:r>
    </w:p>
    <w:p w:rsidR="006357C5" w:rsidRDefault="006357C5" w:rsidP="006357C5">
      <w:pPr>
        <w:jc w:val="both"/>
        <w:rPr>
          <w:iCs/>
        </w:rPr>
      </w:pPr>
    </w:p>
    <w:p w:rsidR="006357C5" w:rsidRDefault="006357C5" w:rsidP="006357C5">
      <w:pPr>
        <w:pStyle w:val="FigureHeading"/>
        <w:keepNext/>
      </w:pPr>
      <w:bookmarkStart w:id="100" w:name="_Toc328742967"/>
      <w:r w:rsidRPr="000974EA">
        <w:lastRenderedPageBreak/>
        <w:t>Figure 37</w:t>
      </w:r>
      <w:r>
        <w:t>:</w:t>
      </w:r>
      <w:r w:rsidRPr="000974EA">
        <w:t xml:space="preserve"> HEFCE grant 2010-11: total £7,426 million</w:t>
      </w:r>
      <w:bookmarkEnd w:id="100"/>
    </w:p>
    <w:p w:rsidR="006357C5" w:rsidRPr="000974EA" w:rsidRDefault="006357C5" w:rsidP="006357C5">
      <w:pPr>
        <w:pStyle w:val="FigureHeading"/>
        <w:keepNext/>
      </w:pPr>
    </w:p>
    <w:p w:rsidR="006357C5" w:rsidRPr="00DF0CD6" w:rsidRDefault="006357C5" w:rsidP="006357C5">
      <w:pPr>
        <w:keepNext/>
        <w:rPr>
          <w:iCs/>
        </w:rPr>
      </w:pPr>
      <w:r>
        <w:rPr>
          <w:noProof/>
        </w:rPr>
        <w:drawing>
          <wp:inline distT="0" distB="0" distL="0" distR="0" wp14:anchorId="258A8647" wp14:editId="4E4E215E">
            <wp:extent cx="5219065" cy="2803525"/>
            <wp:effectExtent l="19050" t="0" r="635" b="0"/>
            <wp:docPr id="66" name="Imagen 66" descr="225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225582"/>
                    <pic:cNvPicPr>
                      <a:picLocks noChangeAspect="1" noChangeArrowheads="1"/>
                    </pic:cNvPicPr>
                  </pic:nvPicPr>
                  <pic:blipFill>
                    <a:blip r:embed="rId20"/>
                    <a:srcRect/>
                    <a:stretch>
                      <a:fillRect/>
                    </a:stretch>
                  </pic:blipFill>
                  <pic:spPr bwMode="auto">
                    <a:xfrm>
                      <a:off x="0" y="0"/>
                      <a:ext cx="5219065" cy="2803525"/>
                    </a:xfrm>
                    <a:prstGeom prst="rect">
                      <a:avLst/>
                    </a:prstGeom>
                    <a:noFill/>
                    <a:ln w="9525">
                      <a:noFill/>
                      <a:miter lim="800000"/>
                      <a:headEnd/>
                      <a:tailEnd/>
                    </a:ln>
                  </pic:spPr>
                </pic:pic>
              </a:graphicData>
            </a:graphic>
          </wp:inline>
        </w:drawing>
      </w:r>
    </w:p>
    <w:p w:rsidR="006357C5" w:rsidRDefault="006357C5" w:rsidP="006357C5">
      <w:pPr>
        <w:keepNext/>
        <w:ind w:left="180"/>
        <w:rPr>
          <w:sz w:val="18"/>
          <w:szCs w:val="18"/>
        </w:rPr>
      </w:pPr>
      <w:r w:rsidRPr="007A5938">
        <w:rPr>
          <w:sz w:val="18"/>
          <w:szCs w:val="18"/>
          <w:u w:val="single"/>
        </w:rPr>
        <w:t xml:space="preserve">Source: </w:t>
      </w:r>
      <w:r w:rsidRPr="00801949">
        <w:rPr>
          <w:sz w:val="18"/>
          <w:szCs w:val="18"/>
        </w:rPr>
        <w:t>HEFCE (2010)</w:t>
      </w:r>
    </w:p>
    <w:p w:rsidR="006357C5" w:rsidRPr="00801949" w:rsidRDefault="006357C5" w:rsidP="006357C5">
      <w:pPr>
        <w:keepNext/>
        <w:ind w:left="180"/>
        <w:rPr>
          <w:sz w:val="18"/>
          <w:szCs w:val="18"/>
        </w:rPr>
      </w:pPr>
    </w:p>
    <w:p w:rsidR="006357C5" w:rsidRDefault="006357C5" w:rsidP="006357C5">
      <w:pPr>
        <w:jc w:val="both"/>
      </w:pPr>
    </w:p>
    <w:p w:rsidR="006357C5" w:rsidRPr="00DF0CD6" w:rsidRDefault="006357C5" w:rsidP="006357C5">
      <w:pPr>
        <w:jc w:val="both"/>
        <w:rPr>
          <w:iCs/>
        </w:rPr>
      </w:pPr>
      <w:r w:rsidRPr="00DF0CD6">
        <w:rPr>
          <w:iCs/>
        </w:rPr>
        <w:t xml:space="preserve">English higher education institutions, as autonomous bodies with their own strategic priorities, receive most of their funding as a </w:t>
      </w:r>
      <w:r w:rsidRPr="00DF0CD6">
        <w:rPr>
          <w:b/>
          <w:iCs/>
        </w:rPr>
        <w:t>‘</w:t>
      </w:r>
      <w:r w:rsidRPr="00DF0CD6">
        <w:rPr>
          <w:iCs/>
        </w:rPr>
        <w:t xml:space="preserve">block grant’ that they spend freely according to some broad guidelines set by HEFCE. The institution is accountable for what it delivers, in terms of the numbers of students taught and audit outcomes and the quantity and quality of research. Moreover, HEFCE distributes a small proportion of funding by other methods such as bidding exercises, and sometimes such funding must be spent on the specific purpose(s) for which it was given. Institutions are accountable to HEFCE, and ultimately to Parliament, for the way they use funds received from HEFCE. As independent bodies, they also receive funding from many different public and private sources. This gives them scope to pursue activities alongside those for which they receive HEFCE funds. </w:t>
      </w:r>
    </w:p>
    <w:p w:rsidR="006357C5" w:rsidRDefault="006357C5" w:rsidP="006357C5">
      <w:pPr>
        <w:rPr>
          <w:b/>
        </w:rPr>
      </w:pPr>
    </w:p>
    <w:p w:rsidR="006357C5" w:rsidRPr="00801949" w:rsidRDefault="006357C5" w:rsidP="006357C5">
      <w:pPr>
        <w:rPr>
          <w:b/>
        </w:rPr>
      </w:pPr>
      <w:r w:rsidRPr="00801949">
        <w:rPr>
          <w:b/>
        </w:rPr>
        <w:t>B) Allocation of the costs of tertiary education between private and public actors</w:t>
      </w:r>
    </w:p>
    <w:p w:rsidR="006357C5" w:rsidRPr="00DF0CD6" w:rsidRDefault="006357C5" w:rsidP="006357C5">
      <w:pPr>
        <w:rPr>
          <w:b/>
        </w:rPr>
      </w:pPr>
    </w:p>
    <w:p w:rsidR="006357C5" w:rsidRDefault="006357C5" w:rsidP="006357C5">
      <w:pPr>
        <w:jc w:val="both"/>
        <w:rPr>
          <w:iCs/>
        </w:rPr>
      </w:pPr>
      <w:r w:rsidRPr="00DF0CD6">
        <w:rPr>
          <w:iCs/>
        </w:rPr>
        <w:t xml:space="preserve">In 2008, 34.5% of spending in tertiary education in the United Kingdom came from public sources, with the remaining 65.5% stemming from private ones (OECD 2011, 244). In fact, households bore the majority of tertiary education costs: 51.5%. </w:t>
      </w:r>
      <w:bookmarkStart w:id="101" w:name="_Ref259778590"/>
      <w:r w:rsidRPr="00DF0CD6">
        <w:rPr>
          <w:iCs/>
        </w:rPr>
        <w:t xml:space="preserve">Together with HEFCE grants, tuition fees are a major source of funding for tertiary education. Fees for British and European Union full-time undergraduates and students in teacher training courses are subject to regulation, with limits on what institutions may charge. For the academic year 2011 – 2012 the limit to yearly tuition fees is set at £3,375. Following a 2009 reform, from the academic year </w:t>
      </w:r>
      <w:bookmarkEnd w:id="101"/>
      <w:r w:rsidRPr="00DF0CD6">
        <w:rPr>
          <w:iCs/>
        </w:rPr>
        <w:t>2012 – 2013 onwards universities and colleges can charge new full-time students up to £9,000 for tuition</w:t>
      </w:r>
      <w:r w:rsidRPr="00DF0CD6">
        <w:rPr>
          <w:iCs/>
          <w:vertAlign w:val="superscript"/>
        </w:rPr>
        <w:footnoteReference w:id="21"/>
      </w:r>
      <w:r w:rsidRPr="00DF0CD6">
        <w:rPr>
          <w:iCs/>
        </w:rPr>
        <w:t xml:space="preserve">. As will be developed in Section (D), the so-called Browne Review of higher </w:t>
      </w:r>
      <w:r w:rsidRPr="00DF0CD6">
        <w:rPr>
          <w:iCs/>
        </w:rPr>
        <w:lastRenderedPageBreak/>
        <w:t xml:space="preserve">education financing, which was launched at the end of 2009 and presented its findings a year later, has led to an ongoing process of reform that has a direct impact on the distribution of costs of tertiary education between private and public actors. </w:t>
      </w:r>
    </w:p>
    <w:p w:rsidR="006357C5" w:rsidRDefault="006357C5" w:rsidP="006357C5">
      <w:pPr>
        <w:jc w:val="both"/>
        <w:rPr>
          <w:iCs/>
        </w:rPr>
      </w:pPr>
    </w:p>
    <w:p w:rsidR="006357C5" w:rsidRPr="00801949" w:rsidRDefault="006357C5" w:rsidP="006357C5">
      <w:pPr>
        <w:rPr>
          <w:b/>
        </w:rPr>
      </w:pPr>
      <w:r w:rsidRPr="00801949">
        <w:rPr>
          <w:b/>
        </w:rPr>
        <w:t>C) Analysis of the student aid system and how it helps public actors cover costs of tertiary education</w:t>
      </w:r>
    </w:p>
    <w:p w:rsidR="006357C5" w:rsidRDefault="006357C5" w:rsidP="006357C5">
      <w:pPr>
        <w:jc w:val="both"/>
        <w:rPr>
          <w:b/>
        </w:rPr>
      </w:pPr>
    </w:p>
    <w:p w:rsidR="006357C5" w:rsidRDefault="006357C5" w:rsidP="006357C5">
      <w:pPr>
        <w:jc w:val="both"/>
      </w:pPr>
      <w:r w:rsidRPr="00DF0CD6">
        <w:t>The United Kingdom counts on a significantly sized student aid system. As of 2008, 94.5% of students in the UK benefitted from public loans and/or scholarships or grants (OECD 2011, 256). As a result, 31.2% of total public expenditure on tertiary education focuses on student aid packages – most of which (27.7% of total public expenditure) is invested in student loans (OECD 2011, 256).</w:t>
      </w:r>
    </w:p>
    <w:p w:rsidR="006357C5" w:rsidRDefault="006357C5" w:rsidP="006357C5">
      <w:pPr>
        <w:jc w:val="both"/>
      </w:pPr>
    </w:p>
    <w:p w:rsidR="006357C5" w:rsidRDefault="006357C5" w:rsidP="006357C5">
      <w:pPr>
        <w:jc w:val="both"/>
      </w:pPr>
      <w:r w:rsidRPr="00DF0CD6">
        <w:t>The student financial aid system consists of the following components: (a) a tuition fee loan paid directly to a student’s university or college each year; (b) a maintenance loan for living costs for full-time students; (c) a means-tested maintenance grant for full-time students if the student’s household income (including parents' or partner’s income) is less than £50,000; (d) means-tested bursaries and</w:t>
      </w:r>
      <w:r>
        <w:t xml:space="preserve"> </w:t>
      </w:r>
      <w:r w:rsidRPr="00DF0CD6">
        <w:t>scholarships offered by colleges or universities</w:t>
      </w:r>
      <w:r w:rsidRPr="00DF0CD6">
        <w:rPr>
          <w:vertAlign w:val="superscript"/>
        </w:rPr>
        <w:footnoteReference w:id="22"/>
      </w:r>
      <w:r w:rsidRPr="00DF0CD6">
        <w:t xml:space="preserve">; and (e) additional financial help for students with disabilities or dependants. </w:t>
      </w:r>
    </w:p>
    <w:p w:rsidR="006357C5" w:rsidRDefault="006357C5" w:rsidP="006357C5">
      <w:pPr>
        <w:jc w:val="both"/>
      </w:pPr>
      <w:r w:rsidRPr="00DF0CD6">
        <w:br w:type="page"/>
      </w:r>
    </w:p>
    <w:p w:rsidR="006357C5" w:rsidRPr="00801949" w:rsidRDefault="006357C5" w:rsidP="006357C5">
      <w:pPr>
        <w:rPr>
          <w:b/>
        </w:rPr>
      </w:pPr>
      <w:r w:rsidRPr="00801949">
        <w:rPr>
          <w:b/>
        </w:rPr>
        <w:lastRenderedPageBreak/>
        <w:t>Administration arrangements</w:t>
      </w:r>
    </w:p>
    <w:p w:rsidR="006357C5" w:rsidRPr="00DF0CD6" w:rsidRDefault="006357C5" w:rsidP="006357C5"/>
    <w:p w:rsidR="006357C5" w:rsidRPr="00DF0CD6" w:rsidRDefault="006357C5" w:rsidP="006357C5">
      <w:pPr>
        <w:jc w:val="both"/>
      </w:pPr>
      <w:r w:rsidRPr="00DF0CD6">
        <w:t>Student financial aid in England, including most universities’ and colleges’ bursaries and scholarships, is allocated centrally by Student Finance England (SFE)</w:t>
      </w:r>
      <w:r w:rsidRPr="00DF0CD6">
        <w:rPr>
          <w:vertAlign w:val="superscript"/>
        </w:rPr>
        <w:footnoteReference w:id="23"/>
      </w:r>
      <w:r w:rsidRPr="00DF0CD6">
        <w:t>. Students make a single application for financial aid, which is then assessed by SFE to determine the amount of student aid and the mix of loans-grants the student is eligible for. All English students are eligible for a tuition fee loan to cover the full tuition for their course.</w:t>
      </w:r>
      <w:r>
        <w:t xml:space="preserve"> </w:t>
      </w:r>
      <w:r w:rsidRPr="00DF0CD6">
        <w:t>However, the eligibility for maintenance grants and loans is dependent on family income: whereas the amount of the maintenance grant decreases with income, the amount of the maintenance loan increases with family income. Tuition fee and maintenance loans are income-contingent, which means that payments are not due until a graduate reaches a certain income threshold (£21,000 a year for students starting in September 2011</w:t>
      </w:r>
      <w:r w:rsidRPr="00DF0CD6">
        <w:rPr>
          <w:vertAlign w:val="superscript"/>
        </w:rPr>
        <w:footnoteReference w:id="24"/>
      </w:r>
      <w:r w:rsidRPr="00DF0CD6">
        <w:t>), after which payments are calculated as a fixed proportion of their additional income (9%). For the year 2011 – 2012 an interest rate of 1.5% applies. From 2012 interest is charged from day 1 of the loan, with a variable, income-contingent interest rate: (i) while the borrower studies, the rate of inflation + 3% applies; when the graduate earns £21,000 or less, just the rate of inflation; and when the graduate earnings are above that income, the rate of inflation + up to 3% depending on your income. The collection of repayments is administered, via the tax system, by a single public agency for the whole UK, namely the Student Loans Company.</w:t>
      </w:r>
    </w:p>
    <w:p w:rsidR="006357C5" w:rsidRPr="00DF0CD6" w:rsidRDefault="006357C5" w:rsidP="006357C5">
      <w:pPr>
        <w:jc w:val="both"/>
      </w:pPr>
    </w:p>
    <w:p w:rsidR="006357C5" w:rsidRPr="00801949" w:rsidRDefault="006357C5" w:rsidP="006357C5">
      <w:pPr>
        <w:rPr>
          <w:b/>
        </w:rPr>
      </w:pPr>
      <w:r w:rsidRPr="00801949">
        <w:rPr>
          <w:b/>
        </w:rPr>
        <w:t>D) Tensions in the system: recent reforms and prospects for reform in the mid-term</w:t>
      </w:r>
    </w:p>
    <w:p w:rsidR="006357C5" w:rsidRDefault="006357C5" w:rsidP="006357C5">
      <w:pPr>
        <w:jc w:val="both"/>
        <w:rPr>
          <w:b/>
        </w:rPr>
      </w:pPr>
    </w:p>
    <w:p w:rsidR="006357C5" w:rsidRDefault="006357C5" w:rsidP="006357C5">
      <w:pPr>
        <w:jc w:val="both"/>
      </w:pPr>
      <w:r w:rsidRPr="00DF0CD6">
        <w:t>In the last decade the UK has faced two major reforms in its tertiary education financing system. The 2004 Higher Education Support Act</w:t>
      </w:r>
      <w:r w:rsidRPr="00DF0CD6">
        <w:rPr>
          <w:vertAlign w:val="superscript"/>
        </w:rPr>
        <w:footnoteReference w:id="25"/>
      </w:r>
      <w:r w:rsidRPr="00DF0CD6">
        <w:t xml:space="preserve">, which included two sets of important reforms: (i) it replaced a system of fixed fees (they were fixed at an annual rate of £1,125 that year) with a system of variable fees with a cap of £3,000 per year (indexed over time); and (ii) the system of up-front fees payment was substituted with a system of income-contingent, deferred payment. As it was indicated before, initially this system was designed so that graduates paid 9% of their earnings over a £15,000 threshold. With these reforms, the Government wanted ‘to enhance the income of institutions without putting more pressure on public resources’ (Browne 2010, 19). </w:t>
      </w:r>
    </w:p>
    <w:p w:rsidR="006357C5" w:rsidRDefault="006357C5" w:rsidP="006357C5">
      <w:pPr>
        <w:jc w:val="both"/>
      </w:pPr>
    </w:p>
    <w:p w:rsidR="006357C5" w:rsidRDefault="006357C5" w:rsidP="006357C5">
      <w:pPr>
        <w:jc w:val="both"/>
      </w:pPr>
      <w:r w:rsidRPr="00DF0CD6">
        <w:t xml:space="preserve">In late 2009 the ‘Independent Review of Higher Education Funding and Student Finance’, so-called the Browne Review, was launched to assess the system for tertiary education financing and propose directions for reform that would ensure fairer and more efficient contributions from government, students, and graduates. The panel presented its conclusions a year later, already during the current coalition Government, which proposed to Parliament a number of measures in response to the Browne report. The Government rejected the proposal of liberalizing tertiary </w:t>
      </w:r>
      <w:r w:rsidRPr="00DF0CD6">
        <w:lastRenderedPageBreak/>
        <w:t>education prices and decided instead a threefold rise in the cap for tuition fees, which was set at £9,000 per year. On the other hand, it followed the Browne report in raising the repayment threshold from a monthly salary of £15,000 to one of £21,000, while switching from a 25-year to a 30-year repayment period. Moreover, the Government decided to set an income-contingent interest rate</w:t>
      </w:r>
      <w:r w:rsidRPr="00DF0CD6">
        <w:rPr>
          <w:vertAlign w:val="superscript"/>
        </w:rPr>
        <w:footnoteReference w:id="26"/>
      </w:r>
      <w:r w:rsidRPr="00DF0CD6">
        <w:t xml:space="preserve"> that ranges from the rate of inflation to the rate of inflation + 3%</w:t>
      </w:r>
      <w:r w:rsidRPr="00DF0CD6">
        <w:rPr>
          <w:vertAlign w:val="superscript"/>
        </w:rPr>
        <w:footnoteReference w:id="27"/>
      </w:r>
      <w:r w:rsidRPr="00DF0CD6">
        <w:t xml:space="preserve">. This set of reforms was passed at a political cost, including a major wave of protests throughout the country and instability within the coalition cabinet. </w:t>
      </w:r>
    </w:p>
    <w:p w:rsidR="006357C5" w:rsidRDefault="006357C5" w:rsidP="006357C5"/>
    <w:p w:rsidR="006357C5" w:rsidRDefault="006357C5" w:rsidP="006357C5">
      <w:pPr>
        <w:jc w:val="both"/>
      </w:pPr>
      <w:r w:rsidRPr="00DF0CD6">
        <w:t>More recently, the Department for Business, Innovations and Skills has issued a number of consultations around the financing and governance of tertiary education</w:t>
      </w:r>
      <w:r w:rsidRPr="00DF0CD6">
        <w:rPr>
          <w:vertAlign w:val="superscript"/>
        </w:rPr>
        <w:footnoteReference w:id="28"/>
      </w:r>
      <w:r w:rsidRPr="00DF0CD6">
        <w:t xml:space="preserve">. Of major importance is the consultation on the White Paper ‘Students at the heart of the system’ (BIS 2011a), which touches upon issues of tertiary education finance, student aid systems, quality assurance, university system governance, and information systems. In particular, the White Paper proposes policies like decreasing HEFCE teaching grants (especially for humanities and social sciences); making loans for fees and living costs available to all first-time, full-time undergraduate students; or requiring universities to publish a standard set of information for each of its programs, including graduates’ employment rate. Moreover, the more focused ‘Consultation on potential early repayment mechanisms’ (BIS 2011b) questions the current state of affairs, which by allowing early repayments without any penalty undermines the progressive character of the income-contingent loan system. In the words of the Government, it is important ‘that those on the highest incomes after graduation are not able unfairly to buy themselves out of this progressive mechanism by paying off their loans early’. Therefore, they are considering introducing early repayment charges for high payers or for high earners. </w:t>
      </w:r>
    </w:p>
    <w:p w:rsidR="006357C5" w:rsidRDefault="006357C5" w:rsidP="006357C5">
      <w:r w:rsidRPr="00DF0CD6">
        <w:br w:type="page"/>
      </w:r>
    </w:p>
    <w:p w:rsidR="006357C5" w:rsidRDefault="006357C5" w:rsidP="006357C5">
      <w:pPr>
        <w:pStyle w:val="Heading2"/>
      </w:pPr>
      <w:bookmarkStart w:id="102" w:name="_Toc312158935"/>
      <w:bookmarkStart w:id="103" w:name="_Toc315363053"/>
      <w:bookmarkStart w:id="104" w:name="_Toc327186210"/>
      <w:bookmarkStart w:id="105" w:name="_Toc328573834"/>
      <w:bookmarkStart w:id="106" w:name="_Toc345342927"/>
      <w:r w:rsidRPr="00575059">
        <w:lastRenderedPageBreak/>
        <w:t>Hungary</w:t>
      </w:r>
      <w:bookmarkEnd w:id="102"/>
      <w:bookmarkEnd w:id="103"/>
      <w:bookmarkEnd w:id="104"/>
      <w:bookmarkEnd w:id="105"/>
      <w:bookmarkEnd w:id="106"/>
    </w:p>
    <w:p w:rsidR="006357C5" w:rsidRDefault="006357C5" w:rsidP="006357C5"/>
    <w:p w:rsidR="006357C5" w:rsidRPr="00801949" w:rsidRDefault="006357C5" w:rsidP="006357C5">
      <w:pPr>
        <w:rPr>
          <w:b/>
        </w:rPr>
      </w:pPr>
      <w:r w:rsidRPr="00801949">
        <w:rPr>
          <w:b/>
        </w:rPr>
        <w:t>A) Overview</w:t>
      </w:r>
    </w:p>
    <w:p w:rsidR="006357C5" w:rsidRPr="00DF0CD6" w:rsidRDefault="006357C5" w:rsidP="006357C5">
      <w:pPr>
        <w:tabs>
          <w:tab w:val="left" w:pos="270"/>
        </w:tabs>
        <w:contextualSpacing/>
      </w:pPr>
    </w:p>
    <w:p w:rsidR="006357C5" w:rsidRDefault="006357C5" w:rsidP="006357C5">
      <w:pPr>
        <w:tabs>
          <w:tab w:val="left" w:pos="270"/>
        </w:tabs>
        <w:contextualSpacing/>
        <w:jc w:val="both"/>
      </w:pPr>
      <w:r w:rsidRPr="00DF0CD6">
        <w:t>Hungary has a population of about 10 million people, a GDP per capita (PPP) of $18,800 and a Gini index of 24.7.</w:t>
      </w:r>
      <w:r w:rsidRPr="00DF0CD6">
        <w:rPr>
          <w:vertAlign w:val="superscript"/>
        </w:rPr>
        <w:footnoteReference w:id="29"/>
      </w:r>
      <w:r w:rsidRPr="00DF0CD6">
        <w:t xml:space="preserve"> </w:t>
      </w:r>
    </w:p>
    <w:p w:rsidR="006357C5" w:rsidRPr="00DF0CD6" w:rsidRDefault="006357C5" w:rsidP="006357C5">
      <w:pPr>
        <w:tabs>
          <w:tab w:val="left" w:pos="270"/>
        </w:tabs>
        <w:contextualSpacing/>
        <w:jc w:val="both"/>
      </w:pPr>
    </w:p>
    <w:p w:rsidR="006357C5" w:rsidRDefault="006357C5" w:rsidP="006357C5">
      <w:pPr>
        <w:pStyle w:val="TableHeading"/>
      </w:pPr>
      <w:bookmarkStart w:id="107" w:name="_Toc328382229"/>
      <w:bookmarkStart w:id="108" w:name="_Toc328742913"/>
      <w:r w:rsidRPr="00DF0CD6">
        <w:t>Table</w:t>
      </w:r>
      <w:r w:rsidRPr="00DF0CD6">
        <w:rPr>
          <w:color w:val="4F81BD"/>
        </w:rPr>
        <w:t xml:space="preserve"> </w:t>
      </w:r>
      <w:r>
        <w:t>67</w:t>
      </w:r>
      <w:r w:rsidRPr="00DF0CD6">
        <w:t>:</w:t>
      </w:r>
      <w:r w:rsidRPr="00DF0CD6">
        <w:rPr>
          <w:color w:val="4F81BD"/>
        </w:rPr>
        <w:t xml:space="preserve"> </w:t>
      </w:r>
      <w:r w:rsidRPr="00DF0CD6">
        <w:t>Hungary</w:t>
      </w:r>
      <w:r w:rsidRPr="00DF0CD6">
        <w:rPr>
          <w:color w:val="4F81BD"/>
        </w:rPr>
        <w:t xml:space="preserve">: </w:t>
      </w:r>
      <w:r w:rsidRPr="00DF0CD6">
        <w:t>Basic</w:t>
      </w:r>
      <w:r w:rsidRPr="00DF0CD6">
        <w:rPr>
          <w:color w:val="4F81BD"/>
        </w:rPr>
        <w:t xml:space="preserve"> </w:t>
      </w:r>
      <w:r w:rsidRPr="00DF0CD6">
        <w:t>Facts</w:t>
      </w:r>
      <w:bookmarkEnd w:id="107"/>
      <w:bookmarkEnd w:id="108"/>
    </w:p>
    <w:p w:rsidR="006357C5" w:rsidRDefault="006357C5" w:rsidP="006357C5">
      <w:pPr>
        <w:pStyle w:val="TableHeading"/>
        <w:rPr>
          <w:color w:val="4F81BD"/>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1322"/>
        <w:gridCol w:w="942"/>
        <w:gridCol w:w="931"/>
        <w:gridCol w:w="1459"/>
        <w:gridCol w:w="1431"/>
        <w:gridCol w:w="1660"/>
        <w:gridCol w:w="1820"/>
      </w:tblGrid>
      <w:tr w:rsidR="006357C5" w:rsidRPr="00DC71B4" w:rsidTr="002554CF">
        <w:trPr>
          <w:trHeight w:val="1113"/>
        </w:trPr>
        <w:tc>
          <w:tcPr>
            <w:tcW w:w="1322" w:type="dxa"/>
          </w:tcPr>
          <w:p w:rsidR="006357C5" w:rsidRPr="00DC71B4" w:rsidRDefault="006357C5" w:rsidP="002554CF">
            <w:pPr>
              <w:tabs>
                <w:tab w:val="left" w:pos="270"/>
              </w:tabs>
              <w:contextualSpacing/>
              <w:rPr>
                <w:b/>
                <w:bCs/>
                <w:sz w:val="20"/>
                <w:szCs w:val="20"/>
              </w:rPr>
            </w:pPr>
            <w:r w:rsidRPr="00DC71B4">
              <w:rPr>
                <w:b/>
                <w:bCs/>
                <w:sz w:val="20"/>
                <w:szCs w:val="20"/>
              </w:rPr>
              <w:t>Population (2011)</w:t>
            </w:r>
          </w:p>
        </w:tc>
        <w:tc>
          <w:tcPr>
            <w:tcW w:w="942" w:type="dxa"/>
          </w:tcPr>
          <w:p w:rsidR="006357C5" w:rsidRPr="00DC71B4" w:rsidRDefault="006357C5" w:rsidP="002554CF">
            <w:pPr>
              <w:tabs>
                <w:tab w:val="left" w:pos="270"/>
              </w:tabs>
              <w:contextualSpacing/>
              <w:rPr>
                <w:b/>
                <w:bCs/>
                <w:sz w:val="20"/>
                <w:szCs w:val="20"/>
              </w:rPr>
            </w:pPr>
            <w:r w:rsidRPr="00DC71B4">
              <w:rPr>
                <w:b/>
                <w:bCs/>
                <w:sz w:val="20"/>
                <w:szCs w:val="20"/>
              </w:rPr>
              <w:t>GDP per capita (PPP) (2010)</w:t>
            </w:r>
          </w:p>
        </w:tc>
        <w:tc>
          <w:tcPr>
            <w:tcW w:w="931" w:type="dxa"/>
          </w:tcPr>
          <w:p w:rsidR="006357C5" w:rsidRPr="00DC71B4" w:rsidRDefault="006357C5" w:rsidP="002554CF">
            <w:pPr>
              <w:tabs>
                <w:tab w:val="left" w:pos="270"/>
              </w:tabs>
              <w:contextualSpacing/>
              <w:rPr>
                <w:b/>
                <w:bCs/>
                <w:sz w:val="20"/>
                <w:szCs w:val="20"/>
              </w:rPr>
            </w:pPr>
            <w:r w:rsidRPr="00DC71B4">
              <w:rPr>
                <w:b/>
                <w:bCs/>
                <w:sz w:val="20"/>
                <w:szCs w:val="20"/>
              </w:rPr>
              <w:t>Gini index (late 2000’s)</w:t>
            </w:r>
          </w:p>
        </w:tc>
        <w:tc>
          <w:tcPr>
            <w:tcW w:w="1459" w:type="dxa"/>
          </w:tcPr>
          <w:p w:rsidR="006357C5" w:rsidRPr="00DC71B4" w:rsidRDefault="006357C5" w:rsidP="002554CF">
            <w:pPr>
              <w:tabs>
                <w:tab w:val="left" w:pos="270"/>
              </w:tabs>
              <w:contextualSpacing/>
              <w:rPr>
                <w:b/>
                <w:bCs/>
                <w:sz w:val="20"/>
                <w:szCs w:val="20"/>
              </w:rPr>
            </w:pPr>
            <w:r w:rsidRPr="00DC71B4">
              <w:rPr>
                <w:b/>
                <w:bCs/>
                <w:sz w:val="20"/>
                <w:szCs w:val="20"/>
              </w:rPr>
              <w:t>Government tax revenue as % of GDP (2010)</w:t>
            </w:r>
          </w:p>
        </w:tc>
        <w:tc>
          <w:tcPr>
            <w:tcW w:w="1431" w:type="dxa"/>
          </w:tcPr>
          <w:p w:rsidR="006357C5" w:rsidRPr="00DC71B4" w:rsidRDefault="006357C5" w:rsidP="002554CF">
            <w:pPr>
              <w:tabs>
                <w:tab w:val="left" w:pos="270"/>
              </w:tabs>
              <w:contextualSpacing/>
              <w:rPr>
                <w:b/>
                <w:bCs/>
                <w:sz w:val="20"/>
                <w:szCs w:val="20"/>
              </w:rPr>
            </w:pPr>
            <w:r w:rsidRPr="00DC71B4">
              <w:rPr>
                <w:b/>
                <w:bCs/>
                <w:sz w:val="20"/>
                <w:szCs w:val="20"/>
              </w:rPr>
              <w:t>Government total revenue as % of GDP (2010)</w:t>
            </w:r>
          </w:p>
        </w:tc>
        <w:tc>
          <w:tcPr>
            <w:tcW w:w="1660" w:type="dxa"/>
          </w:tcPr>
          <w:p w:rsidR="006357C5" w:rsidRPr="00DC71B4" w:rsidRDefault="006357C5" w:rsidP="002554CF">
            <w:pPr>
              <w:tabs>
                <w:tab w:val="left" w:pos="270"/>
              </w:tabs>
              <w:contextualSpacing/>
              <w:rPr>
                <w:b/>
                <w:bCs/>
                <w:sz w:val="20"/>
                <w:szCs w:val="20"/>
              </w:rPr>
            </w:pPr>
            <w:r w:rsidRPr="00DC71B4">
              <w:rPr>
                <w:b/>
                <w:bCs/>
                <w:sz w:val="20"/>
                <w:szCs w:val="20"/>
              </w:rPr>
              <w:t xml:space="preserve">Tax wedge/person (2010) </w:t>
            </w:r>
          </w:p>
        </w:tc>
        <w:tc>
          <w:tcPr>
            <w:tcW w:w="1820" w:type="dxa"/>
          </w:tcPr>
          <w:p w:rsidR="006357C5" w:rsidRPr="00DC71B4" w:rsidRDefault="006357C5" w:rsidP="002554CF">
            <w:pPr>
              <w:tabs>
                <w:tab w:val="left" w:pos="270"/>
              </w:tabs>
              <w:contextualSpacing/>
              <w:rPr>
                <w:b/>
                <w:bCs/>
                <w:sz w:val="20"/>
                <w:szCs w:val="20"/>
              </w:rPr>
            </w:pPr>
            <w:r w:rsidRPr="00DC71B4">
              <w:rPr>
                <w:b/>
                <w:bCs/>
                <w:sz w:val="20"/>
                <w:szCs w:val="20"/>
              </w:rPr>
              <w:t xml:space="preserve">Avg. annual gross wage of full-time employees ± (US$, PPP) (2010) </w:t>
            </w:r>
          </w:p>
        </w:tc>
      </w:tr>
      <w:tr w:rsidR="006357C5" w:rsidRPr="00DC71B4" w:rsidTr="002554CF">
        <w:trPr>
          <w:trHeight w:val="235"/>
        </w:trPr>
        <w:tc>
          <w:tcPr>
            <w:tcW w:w="1322" w:type="dxa"/>
          </w:tcPr>
          <w:p w:rsidR="006357C5" w:rsidRPr="00DC71B4" w:rsidRDefault="006357C5" w:rsidP="002554CF">
            <w:pPr>
              <w:tabs>
                <w:tab w:val="left" w:pos="270"/>
              </w:tabs>
              <w:contextualSpacing/>
              <w:rPr>
                <w:b/>
                <w:bCs/>
                <w:sz w:val="18"/>
                <w:szCs w:val="18"/>
              </w:rPr>
            </w:pPr>
            <w:r w:rsidRPr="00DC71B4">
              <w:rPr>
                <w:rFonts w:ascii="Calibri" w:hAnsi="Calibri" w:cs="Times New Roman"/>
                <w:b/>
                <w:bCs/>
                <w:sz w:val="18"/>
                <w:szCs w:val="18"/>
              </w:rPr>
              <w:t>10 million</w:t>
            </w:r>
          </w:p>
        </w:tc>
        <w:tc>
          <w:tcPr>
            <w:tcW w:w="942" w:type="dxa"/>
          </w:tcPr>
          <w:p w:rsidR="006357C5" w:rsidRPr="00DC71B4" w:rsidRDefault="006357C5" w:rsidP="002554CF">
            <w:pPr>
              <w:tabs>
                <w:tab w:val="left" w:pos="270"/>
              </w:tabs>
              <w:contextualSpacing/>
              <w:rPr>
                <w:sz w:val="18"/>
                <w:szCs w:val="18"/>
              </w:rPr>
            </w:pPr>
            <w:r w:rsidRPr="00DC71B4">
              <w:rPr>
                <w:rFonts w:ascii="Calibri" w:hAnsi="Calibri" w:cs="Times New Roman"/>
                <w:sz w:val="18"/>
                <w:szCs w:val="18"/>
              </w:rPr>
              <w:t>$20,325</w:t>
            </w:r>
          </w:p>
        </w:tc>
        <w:tc>
          <w:tcPr>
            <w:tcW w:w="931" w:type="dxa"/>
          </w:tcPr>
          <w:p w:rsidR="006357C5" w:rsidRPr="00DC71B4" w:rsidRDefault="006357C5" w:rsidP="002554CF">
            <w:pPr>
              <w:tabs>
                <w:tab w:val="left" w:pos="270"/>
              </w:tabs>
              <w:contextualSpacing/>
              <w:rPr>
                <w:sz w:val="18"/>
                <w:szCs w:val="18"/>
              </w:rPr>
            </w:pPr>
            <w:r w:rsidRPr="00DC71B4">
              <w:rPr>
                <w:rFonts w:ascii="Calibri" w:hAnsi="Calibri" w:cs="Times New Roman"/>
                <w:sz w:val="18"/>
                <w:szCs w:val="18"/>
              </w:rPr>
              <w:t>0.27</w:t>
            </w:r>
          </w:p>
        </w:tc>
        <w:tc>
          <w:tcPr>
            <w:tcW w:w="1459" w:type="dxa"/>
          </w:tcPr>
          <w:p w:rsidR="006357C5" w:rsidRPr="00DC71B4" w:rsidRDefault="006357C5" w:rsidP="002554CF">
            <w:pPr>
              <w:tabs>
                <w:tab w:val="left" w:pos="270"/>
              </w:tabs>
              <w:contextualSpacing/>
              <w:rPr>
                <w:sz w:val="18"/>
                <w:szCs w:val="18"/>
              </w:rPr>
            </w:pPr>
            <w:r w:rsidRPr="00DC71B4">
              <w:rPr>
                <w:rFonts w:ascii="Calibri" w:hAnsi="Calibri" w:cs="Times New Roman"/>
                <w:sz w:val="18"/>
                <w:szCs w:val="18"/>
              </w:rPr>
              <w:t>37.6%</w:t>
            </w:r>
          </w:p>
        </w:tc>
        <w:tc>
          <w:tcPr>
            <w:tcW w:w="1431" w:type="dxa"/>
          </w:tcPr>
          <w:p w:rsidR="006357C5" w:rsidRPr="00DC71B4" w:rsidRDefault="006357C5" w:rsidP="002554CF">
            <w:pPr>
              <w:tabs>
                <w:tab w:val="left" w:pos="270"/>
              </w:tabs>
              <w:contextualSpacing/>
              <w:rPr>
                <w:sz w:val="18"/>
                <w:szCs w:val="18"/>
              </w:rPr>
            </w:pPr>
            <w:r w:rsidRPr="00DC71B4">
              <w:rPr>
                <w:rFonts w:ascii="Calibri" w:hAnsi="Calibri" w:cs="Times New Roman"/>
                <w:sz w:val="18"/>
                <w:szCs w:val="18"/>
              </w:rPr>
              <w:t>44.39%</w:t>
            </w:r>
          </w:p>
        </w:tc>
        <w:tc>
          <w:tcPr>
            <w:tcW w:w="1660" w:type="dxa"/>
          </w:tcPr>
          <w:p w:rsidR="006357C5" w:rsidRPr="00DC71B4" w:rsidRDefault="006357C5" w:rsidP="002554CF">
            <w:pPr>
              <w:tabs>
                <w:tab w:val="left" w:pos="270"/>
              </w:tabs>
              <w:contextualSpacing/>
              <w:rPr>
                <w:sz w:val="18"/>
                <w:szCs w:val="18"/>
              </w:rPr>
            </w:pPr>
            <w:r w:rsidRPr="00DC71B4">
              <w:rPr>
                <w:rFonts w:ascii="Calibri" w:hAnsi="Calibri" w:cs="Times New Roman"/>
                <w:sz w:val="18"/>
                <w:szCs w:val="18"/>
              </w:rPr>
              <w:t>46.44%</w:t>
            </w:r>
          </w:p>
        </w:tc>
        <w:tc>
          <w:tcPr>
            <w:tcW w:w="1820" w:type="dxa"/>
          </w:tcPr>
          <w:p w:rsidR="006357C5" w:rsidRPr="00DC71B4" w:rsidRDefault="006357C5" w:rsidP="002554CF">
            <w:pPr>
              <w:tabs>
                <w:tab w:val="left" w:pos="270"/>
              </w:tabs>
              <w:contextualSpacing/>
              <w:rPr>
                <w:sz w:val="18"/>
                <w:szCs w:val="18"/>
              </w:rPr>
            </w:pPr>
            <w:r w:rsidRPr="00DC71B4">
              <w:rPr>
                <w:rFonts w:ascii="Calibri" w:hAnsi="Calibri" w:cs="Times New Roman"/>
                <w:sz w:val="18"/>
                <w:szCs w:val="18"/>
              </w:rPr>
              <w:t>$18,967</w:t>
            </w:r>
          </w:p>
        </w:tc>
      </w:tr>
    </w:tbl>
    <w:p w:rsidR="006357C5" w:rsidRPr="00F71402" w:rsidRDefault="006357C5" w:rsidP="006357C5">
      <w:pPr>
        <w:tabs>
          <w:tab w:val="left" w:pos="270"/>
        </w:tabs>
        <w:contextualSpacing/>
        <w:jc w:val="both"/>
        <w:rPr>
          <w:sz w:val="18"/>
          <w:szCs w:val="18"/>
        </w:rPr>
      </w:pPr>
      <w:r w:rsidRPr="00575059">
        <w:rPr>
          <w:sz w:val="18"/>
          <w:szCs w:val="18"/>
          <w:u w:val="single"/>
        </w:rPr>
        <w:t>Source</w:t>
      </w:r>
      <w:r w:rsidRPr="00575059">
        <w:rPr>
          <w:sz w:val="18"/>
          <w:szCs w:val="18"/>
        </w:rPr>
        <w:t>: OECD Stats</w:t>
      </w:r>
    </w:p>
    <w:p w:rsidR="006357C5" w:rsidRDefault="006357C5" w:rsidP="006357C5">
      <w:pPr>
        <w:tabs>
          <w:tab w:val="left" w:pos="270"/>
        </w:tabs>
        <w:contextualSpacing/>
        <w:jc w:val="both"/>
        <w:rPr>
          <w:sz w:val="18"/>
          <w:szCs w:val="18"/>
        </w:rPr>
      </w:pPr>
      <w:r w:rsidRPr="00575059">
        <w:rPr>
          <w:sz w:val="18"/>
          <w:szCs w:val="18"/>
        </w:rPr>
        <w:t>±: For a single person at 100% of average earnings, without children</w:t>
      </w:r>
    </w:p>
    <w:p w:rsidR="006357C5" w:rsidRPr="00F71402" w:rsidRDefault="006357C5" w:rsidP="006357C5">
      <w:pPr>
        <w:tabs>
          <w:tab w:val="left" w:pos="270"/>
        </w:tabs>
        <w:contextualSpacing/>
        <w:jc w:val="both"/>
        <w:rPr>
          <w:sz w:val="18"/>
          <w:szCs w:val="18"/>
        </w:rPr>
      </w:pPr>
    </w:p>
    <w:p w:rsidR="006357C5" w:rsidRPr="00DF0CD6" w:rsidRDefault="006357C5" w:rsidP="006357C5">
      <w:pPr>
        <w:tabs>
          <w:tab w:val="left" w:pos="270"/>
        </w:tabs>
        <w:contextualSpacing/>
        <w:jc w:val="both"/>
        <w:rPr>
          <w:color w:val="4F81BD"/>
        </w:rPr>
      </w:pPr>
    </w:p>
    <w:p w:rsidR="006357C5" w:rsidRPr="00DF0CD6" w:rsidRDefault="006357C5" w:rsidP="006357C5">
      <w:pPr>
        <w:tabs>
          <w:tab w:val="left" w:pos="270"/>
        </w:tabs>
        <w:contextualSpacing/>
        <w:jc w:val="both"/>
      </w:pPr>
      <w:r w:rsidRPr="00DF0CD6">
        <w:t xml:space="preserve">There are currently 69 tertiary education institutions (TEIs) in Hungary, plus four TEIs located beyond Hungary’s frontier (2010-2011). These TEIs include state-owned universities and colleges, denominational and foundation institutions, and private TEIs. Most TEIs, including denominational and foundation institutions, are public, or financed directly by the state. Both public and private institutions are represented by the Hungarian Rectors’ Conference (HRC), an independent public corporation whose members are the rectors of the various TEIs. The Hungarian Conference of College Directors and the Chair of Rectors of Academies of Art and Music also represent TEIs’ interests. </w:t>
      </w:r>
    </w:p>
    <w:p w:rsidR="006357C5" w:rsidRDefault="006357C5" w:rsidP="006357C5">
      <w:pPr>
        <w:tabs>
          <w:tab w:val="left" w:pos="270"/>
        </w:tabs>
        <w:contextualSpacing/>
        <w:jc w:val="both"/>
      </w:pPr>
    </w:p>
    <w:p w:rsidR="006357C5" w:rsidRDefault="006357C5" w:rsidP="006357C5">
      <w:pPr>
        <w:tabs>
          <w:tab w:val="left" w:pos="270"/>
        </w:tabs>
        <w:contextualSpacing/>
        <w:jc w:val="both"/>
      </w:pPr>
      <w:r w:rsidRPr="00DF0CD6">
        <w:t>Until recently, tertiary education in Hungary was structured as a binary system of colleges and universities. Whereas the former provided 2-3 year non-research courses, universities were research institutions that taught more academic subjects. The binary system was eliminated in 2005, when Hungary adopted the Bologna Process.</w:t>
      </w:r>
      <w:r w:rsidRPr="00DF0CD6">
        <w:rPr>
          <w:vertAlign w:val="superscript"/>
        </w:rPr>
        <w:footnoteReference w:id="30"/>
      </w:r>
      <w:r w:rsidRPr="00DF0CD6">
        <w:t xml:space="preserve"> In 2011, the new programs represented an average of more than 60% of all graduates in Hungary. </w:t>
      </w:r>
    </w:p>
    <w:p w:rsidR="006357C5" w:rsidRDefault="006357C5" w:rsidP="006357C5">
      <w:pPr>
        <w:rPr>
          <w:color w:val="262626"/>
        </w:rPr>
      </w:pPr>
    </w:p>
    <w:p w:rsidR="006357C5" w:rsidRDefault="006357C5" w:rsidP="006357C5">
      <w:pPr>
        <w:rPr>
          <w:color w:val="262626"/>
        </w:rPr>
      </w:pPr>
    </w:p>
    <w:p w:rsidR="006357C5" w:rsidRDefault="006357C5" w:rsidP="006357C5">
      <w:pPr>
        <w:rPr>
          <w:color w:val="262626"/>
        </w:rPr>
      </w:pPr>
    </w:p>
    <w:p w:rsidR="006357C5" w:rsidRDefault="006357C5" w:rsidP="006357C5">
      <w:pPr>
        <w:pStyle w:val="TableHeading"/>
        <w:keepNext/>
      </w:pPr>
      <w:bookmarkStart w:id="109" w:name="_Toc328382230"/>
      <w:bookmarkStart w:id="110" w:name="_Toc328742914"/>
      <w:r w:rsidRPr="00DF0CD6">
        <w:lastRenderedPageBreak/>
        <w:t xml:space="preserve">Table </w:t>
      </w:r>
      <w:r>
        <w:t>68</w:t>
      </w:r>
      <w:r w:rsidRPr="00DF0CD6">
        <w:t>: Types of Tertiary Education Institutions (2006-2007)</w:t>
      </w:r>
      <w:bookmarkEnd w:id="109"/>
      <w:bookmarkEnd w:id="110"/>
    </w:p>
    <w:p w:rsidR="006357C5" w:rsidRDefault="006357C5" w:rsidP="006357C5">
      <w:pPr>
        <w:pStyle w:val="TableHeading"/>
        <w:keepNext/>
      </w:pPr>
    </w:p>
    <w:tbl>
      <w:tblPr>
        <w:tblW w:w="0" w:type="auto"/>
        <w:tblBorders>
          <w:insideH w:val="single" w:sz="4" w:space="0" w:color="FFFFFF"/>
        </w:tblBorders>
        <w:tblLook w:val="00A0" w:firstRow="1" w:lastRow="0" w:firstColumn="1" w:lastColumn="0" w:noHBand="0" w:noVBand="0"/>
      </w:tblPr>
      <w:tblGrid>
        <w:gridCol w:w="3192"/>
        <w:gridCol w:w="3192"/>
        <w:gridCol w:w="3192"/>
      </w:tblGrid>
      <w:tr w:rsidR="006357C5" w:rsidRPr="00DC71B4" w:rsidTr="002554CF">
        <w:tc>
          <w:tcPr>
            <w:tcW w:w="3192" w:type="dxa"/>
            <w:shd w:val="clear" w:color="auto" w:fill="B8CCE4"/>
          </w:tcPr>
          <w:p w:rsidR="006357C5" w:rsidRPr="00DC71B4" w:rsidRDefault="006357C5" w:rsidP="002554CF">
            <w:pPr>
              <w:keepNext/>
              <w:tabs>
                <w:tab w:val="left" w:pos="270"/>
              </w:tabs>
              <w:contextualSpacing/>
              <w:rPr>
                <w:b/>
                <w:bCs/>
                <w:color w:val="FFFFFF"/>
                <w:sz w:val="20"/>
                <w:szCs w:val="20"/>
              </w:rPr>
            </w:pPr>
            <w:r w:rsidRPr="00DC71B4">
              <w:rPr>
                <w:b/>
                <w:bCs/>
                <w:color w:val="FFFFFF"/>
                <w:sz w:val="20"/>
                <w:szCs w:val="20"/>
              </w:rPr>
              <w:t>Type of TEI</w:t>
            </w:r>
          </w:p>
        </w:tc>
        <w:tc>
          <w:tcPr>
            <w:tcW w:w="3192" w:type="dxa"/>
            <w:shd w:val="clear" w:color="auto" w:fill="B8CCE4"/>
          </w:tcPr>
          <w:p w:rsidR="006357C5" w:rsidRPr="00DC71B4" w:rsidRDefault="006357C5" w:rsidP="002554CF">
            <w:pPr>
              <w:keepNext/>
              <w:tabs>
                <w:tab w:val="left" w:pos="270"/>
              </w:tabs>
              <w:contextualSpacing/>
              <w:rPr>
                <w:b/>
                <w:bCs/>
                <w:color w:val="000000"/>
                <w:sz w:val="20"/>
                <w:szCs w:val="20"/>
              </w:rPr>
            </w:pPr>
            <w:r w:rsidRPr="00DC71B4">
              <w:rPr>
                <w:b/>
                <w:bCs/>
                <w:color w:val="000000"/>
                <w:sz w:val="20"/>
                <w:szCs w:val="20"/>
              </w:rPr>
              <w:t># TEIs</w:t>
            </w:r>
          </w:p>
        </w:tc>
        <w:tc>
          <w:tcPr>
            <w:tcW w:w="3192" w:type="dxa"/>
            <w:shd w:val="clear" w:color="auto" w:fill="B8CCE4"/>
          </w:tcPr>
          <w:p w:rsidR="006357C5" w:rsidRPr="00DC71B4" w:rsidRDefault="006357C5" w:rsidP="002554CF">
            <w:pPr>
              <w:keepNext/>
              <w:tabs>
                <w:tab w:val="left" w:pos="270"/>
              </w:tabs>
              <w:contextualSpacing/>
              <w:rPr>
                <w:b/>
                <w:bCs/>
                <w:color w:val="000000"/>
                <w:sz w:val="20"/>
                <w:szCs w:val="20"/>
              </w:rPr>
            </w:pPr>
            <w:r w:rsidRPr="00DC71B4">
              <w:rPr>
                <w:b/>
                <w:bCs/>
                <w:color w:val="000000"/>
                <w:sz w:val="20"/>
                <w:szCs w:val="20"/>
              </w:rPr>
              <w:t># students enrolled</w:t>
            </w:r>
          </w:p>
        </w:tc>
      </w:tr>
      <w:tr w:rsidR="006357C5" w:rsidRPr="00DC71B4" w:rsidTr="002554CF">
        <w:tc>
          <w:tcPr>
            <w:tcW w:w="3192" w:type="dxa"/>
            <w:shd w:val="clear" w:color="auto" w:fill="365F91"/>
          </w:tcPr>
          <w:p w:rsidR="006357C5" w:rsidRPr="00DC71B4" w:rsidRDefault="006357C5" w:rsidP="002554CF">
            <w:pPr>
              <w:keepNext/>
              <w:tabs>
                <w:tab w:val="left" w:pos="270"/>
              </w:tabs>
              <w:contextualSpacing/>
              <w:rPr>
                <w:color w:val="FFFFFF"/>
                <w:sz w:val="20"/>
                <w:szCs w:val="20"/>
              </w:rPr>
            </w:pPr>
            <w:r w:rsidRPr="00DC71B4">
              <w:rPr>
                <w:color w:val="FFFFFF"/>
                <w:sz w:val="20"/>
                <w:szCs w:val="20"/>
              </w:rPr>
              <w:t>State institutions</w:t>
            </w:r>
          </w:p>
        </w:tc>
        <w:tc>
          <w:tcPr>
            <w:tcW w:w="3192" w:type="dxa"/>
            <w:shd w:val="clear" w:color="auto" w:fill="A7BFDE"/>
          </w:tcPr>
          <w:p w:rsidR="006357C5" w:rsidRPr="00DC71B4" w:rsidRDefault="006357C5" w:rsidP="002554CF">
            <w:pPr>
              <w:keepNext/>
              <w:tabs>
                <w:tab w:val="left" w:pos="270"/>
              </w:tabs>
              <w:contextualSpacing/>
              <w:rPr>
                <w:color w:val="000000"/>
                <w:sz w:val="20"/>
                <w:szCs w:val="20"/>
              </w:rPr>
            </w:pPr>
            <w:r w:rsidRPr="00DC71B4">
              <w:rPr>
                <w:color w:val="000000"/>
                <w:sz w:val="20"/>
                <w:szCs w:val="20"/>
              </w:rPr>
              <w:t>31</w:t>
            </w:r>
          </w:p>
        </w:tc>
        <w:tc>
          <w:tcPr>
            <w:tcW w:w="3192" w:type="dxa"/>
            <w:shd w:val="clear" w:color="auto" w:fill="A7BFDE"/>
          </w:tcPr>
          <w:p w:rsidR="006357C5" w:rsidRPr="00DC71B4" w:rsidRDefault="006357C5" w:rsidP="002554CF">
            <w:pPr>
              <w:keepNext/>
              <w:tabs>
                <w:tab w:val="left" w:pos="270"/>
              </w:tabs>
              <w:contextualSpacing/>
              <w:rPr>
                <w:color w:val="000000"/>
                <w:sz w:val="20"/>
                <w:szCs w:val="20"/>
              </w:rPr>
            </w:pPr>
            <w:r w:rsidRPr="00DC71B4">
              <w:rPr>
                <w:color w:val="000000"/>
                <w:sz w:val="20"/>
                <w:szCs w:val="20"/>
              </w:rPr>
              <w:t>359,758</w:t>
            </w:r>
          </w:p>
        </w:tc>
      </w:tr>
      <w:tr w:rsidR="006357C5" w:rsidRPr="00DC71B4" w:rsidTr="002554CF">
        <w:tc>
          <w:tcPr>
            <w:tcW w:w="3192" w:type="dxa"/>
            <w:shd w:val="clear" w:color="auto" w:fill="365F91"/>
          </w:tcPr>
          <w:p w:rsidR="006357C5" w:rsidRPr="00DC71B4" w:rsidRDefault="006357C5" w:rsidP="002554CF">
            <w:pPr>
              <w:keepNext/>
              <w:tabs>
                <w:tab w:val="left" w:pos="270"/>
              </w:tabs>
              <w:contextualSpacing/>
              <w:rPr>
                <w:color w:val="FFFFFF"/>
                <w:sz w:val="20"/>
                <w:szCs w:val="20"/>
              </w:rPr>
            </w:pPr>
            <w:r w:rsidRPr="00DC71B4">
              <w:rPr>
                <w:color w:val="FFFFFF"/>
                <w:sz w:val="20"/>
                <w:szCs w:val="20"/>
              </w:rPr>
              <w:t>Religious institutions</w:t>
            </w:r>
          </w:p>
        </w:tc>
        <w:tc>
          <w:tcPr>
            <w:tcW w:w="3192" w:type="dxa"/>
            <w:shd w:val="clear" w:color="auto" w:fill="DBE5F1"/>
          </w:tcPr>
          <w:p w:rsidR="006357C5" w:rsidRPr="00DC71B4" w:rsidRDefault="006357C5" w:rsidP="002554CF">
            <w:pPr>
              <w:keepNext/>
              <w:tabs>
                <w:tab w:val="left" w:pos="270"/>
              </w:tabs>
              <w:contextualSpacing/>
              <w:rPr>
                <w:color w:val="000000"/>
                <w:sz w:val="20"/>
                <w:szCs w:val="20"/>
              </w:rPr>
            </w:pPr>
            <w:r w:rsidRPr="00DC71B4">
              <w:rPr>
                <w:color w:val="000000"/>
                <w:sz w:val="20"/>
                <w:szCs w:val="20"/>
              </w:rPr>
              <w:t>26</w:t>
            </w:r>
          </w:p>
        </w:tc>
        <w:tc>
          <w:tcPr>
            <w:tcW w:w="3192" w:type="dxa"/>
            <w:shd w:val="clear" w:color="auto" w:fill="DBE5F1"/>
          </w:tcPr>
          <w:p w:rsidR="006357C5" w:rsidRPr="00DC71B4" w:rsidRDefault="006357C5" w:rsidP="002554CF">
            <w:pPr>
              <w:keepNext/>
              <w:tabs>
                <w:tab w:val="left" w:pos="270"/>
              </w:tabs>
              <w:contextualSpacing/>
              <w:rPr>
                <w:color w:val="000000"/>
                <w:sz w:val="20"/>
                <w:szCs w:val="20"/>
              </w:rPr>
            </w:pPr>
            <w:r w:rsidRPr="00DC71B4">
              <w:rPr>
                <w:color w:val="000000"/>
                <w:sz w:val="20"/>
                <w:szCs w:val="20"/>
              </w:rPr>
              <w:t>24,403</w:t>
            </w:r>
          </w:p>
        </w:tc>
      </w:tr>
      <w:tr w:rsidR="006357C5" w:rsidRPr="00DC71B4" w:rsidTr="002554CF">
        <w:tc>
          <w:tcPr>
            <w:tcW w:w="3192" w:type="dxa"/>
            <w:shd w:val="clear" w:color="auto" w:fill="365F91"/>
          </w:tcPr>
          <w:p w:rsidR="006357C5" w:rsidRPr="00DC71B4" w:rsidRDefault="006357C5" w:rsidP="002554CF">
            <w:pPr>
              <w:keepNext/>
              <w:tabs>
                <w:tab w:val="left" w:pos="270"/>
              </w:tabs>
              <w:contextualSpacing/>
              <w:rPr>
                <w:color w:val="FFFFFF"/>
                <w:sz w:val="20"/>
                <w:szCs w:val="20"/>
              </w:rPr>
            </w:pPr>
            <w:r w:rsidRPr="00DC71B4">
              <w:rPr>
                <w:color w:val="FFFFFF"/>
                <w:sz w:val="20"/>
                <w:szCs w:val="20"/>
              </w:rPr>
              <w:t>Private institutions</w:t>
            </w:r>
          </w:p>
        </w:tc>
        <w:tc>
          <w:tcPr>
            <w:tcW w:w="3192" w:type="dxa"/>
            <w:shd w:val="clear" w:color="auto" w:fill="A7BFDE"/>
          </w:tcPr>
          <w:p w:rsidR="006357C5" w:rsidRPr="00DC71B4" w:rsidRDefault="006357C5" w:rsidP="002554CF">
            <w:pPr>
              <w:keepNext/>
              <w:tabs>
                <w:tab w:val="left" w:pos="270"/>
              </w:tabs>
              <w:contextualSpacing/>
              <w:rPr>
                <w:color w:val="000000"/>
                <w:sz w:val="20"/>
                <w:szCs w:val="20"/>
              </w:rPr>
            </w:pPr>
            <w:r w:rsidRPr="00DC71B4">
              <w:rPr>
                <w:color w:val="000000"/>
                <w:sz w:val="20"/>
                <w:szCs w:val="20"/>
              </w:rPr>
              <w:t>14</w:t>
            </w:r>
          </w:p>
        </w:tc>
        <w:tc>
          <w:tcPr>
            <w:tcW w:w="3192" w:type="dxa"/>
            <w:shd w:val="clear" w:color="auto" w:fill="A7BFDE"/>
          </w:tcPr>
          <w:p w:rsidR="006357C5" w:rsidRPr="00DC71B4" w:rsidRDefault="006357C5" w:rsidP="002554CF">
            <w:pPr>
              <w:keepNext/>
              <w:tabs>
                <w:tab w:val="left" w:pos="270"/>
              </w:tabs>
              <w:contextualSpacing/>
              <w:rPr>
                <w:color w:val="000000"/>
                <w:sz w:val="20"/>
                <w:szCs w:val="20"/>
              </w:rPr>
            </w:pPr>
            <w:r w:rsidRPr="00DC71B4">
              <w:rPr>
                <w:color w:val="000000"/>
                <w:sz w:val="20"/>
                <w:szCs w:val="20"/>
              </w:rPr>
              <w:t>32,187</w:t>
            </w:r>
          </w:p>
        </w:tc>
      </w:tr>
      <w:tr w:rsidR="006357C5" w:rsidRPr="00DC71B4" w:rsidTr="002554CF">
        <w:tc>
          <w:tcPr>
            <w:tcW w:w="3192" w:type="dxa"/>
            <w:shd w:val="clear" w:color="auto" w:fill="365F91"/>
          </w:tcPr>
          <w:p w:rsidR="006357C5" w:rsidRPr="00DC71B4" w:rsidRDefault="006357C5" w:rsidP="002554CF">
            <w:pPr>
              <w:keepNext/>
              <w:tabs>
                <w:tab w:val="left" w:pos="270"/>
              </w:tabs>
              <w:contextualSpacing/>
              <w:rPr>
                <w:b/>
                <w:color w:val="FFFFFF"/>
                <w:sz w:val="20"/>
                <w:szCs w:val="20"/>
              </w:rPr>
            </w:pPr>
            <w:r w:rsidRPr="00DC71B4">
              <w:rPr>
                <w:b/>
                <w:color w:val="FFFFFF"/>
                <w:sz w:val="20"/>
                <w:szCs w:val="20"/>
              </w:rPr>
              <w:t>TOTAL</w:t>
            </w:r>
          </w:p>
        </w:tc>
        <w:tc>
          <w:tcPr>
            <w:tcW w:w="3192" w:type="dxa"/>
            <w:shd w:val="clear" w:color="auto" w:fill="DBE5F1"/>
          </w:tcPr>
          <w:p w:rsidR="006357C5" w:rsidRPr="00DC71B4" w:rsidRDefault="006357C5" w:rsidP="002554CF">
            <w:pPr>
              <w:keepNext/>
              <w:tabs>
                <w:tab w:val="left" w:pos="270"/>
              </w:tabs>
              <w:contextualSpacing/>
              <w:rPr>
                <w:b/>
                <w:color w:val="000000"/>
                <w:sz w:val="20"/>
                <w:szCs w:val="20"/>
              </w:rPr>
            </w:pPr>
            <w:r w:rsidRPr="00DC71B4">
              <w:rPr>
                <w:b/>
                <w:color w:val="000000"/>
                <w:sz w:val="20"/>
                <w:szCs w:val="20"/>
              </w:rPr>
              <w:t>71*</w:t>
            </w:r>
          </w:p>
        </w:tc>
        <w:tc>
          <w:tcPr>
            <w:tcW w:w="3192" w:type="dxa"/>
            <w:shd w:val="clear" w:color="auto" w:fill="DBE5F1"/>
          </w:tcPr>
          <w:p w:rsidR="006357C5" w:rsidRPr="00DC71B4" w:rsidRDefault="006357C5" w:rsidP="002554CF">
            <w:pPr>
              <w:keepNext/>
              <w:tabs>
                <w:tab w:val="left" w:pos="270"/>
              </w:tabs>
              <w:contextualSpacing/>
              <w:rPr>
                <w:b/>
                <w:color w:val="000000"/>
                <w:sz w:val="20"/>
                <w:szCs w:val="20"/>
              </w:rPr>
            </w:pPr>
            <w:r w:rsidRPr="00DC71B4">
              <w:rPr>
                <w:b/>
                <w:color w:val="000000"/>
                <w:sz w:val="20"/>
                <w:szCs w:val="20"/>
              </w:rPr>
              <w:t>416,348</w:t>
            </w:r>
          </w:p>
        </w:tc>
      </w:tr>
    </w:tbl>
    <w:p w:rsidR="006357C5" w:rsidRPr="00F71402" w:rsidRDefault="006357C5" w:rsidP="006357C5">
      <w:pPr>
        <w:keepNext/>
        <w:tabs>
          <w:tab w:val="left" w:pos="270"/>
        </w:tabs>
        <w:contextualSpacing/>
        <w:rPr>
          <w:sz w:val="18"/>
          <w:szCs w:val="18"/>
        </w:rPr>
      </w:pPr>
      <w:r w:rsidRPr="00575059">
        <w:rPr>
          <w:sz w:val="18"/>
          <w:szCs w:val="18"/>
          <w:u w:val="single"/>
        </w:rPr>
        <w:t>Source</w:t>
      </w:r>
      <w:r w:rsidRPr="00575059">
        <w:rPr>
          <w:sz w:val="18"/>
          <w:szCs w:val="18"/>
        </w:rPr>
        <w:t>: Singh and Marcucci 2008</w:t>
      </w:r>
    </w:p>
    <w:p w:rsidR="006357C5" w:rsidRPr="007A5938" w:rsidRDefault="006357C5" w:rsidP="006357C5">
      <w:pPr>
        <w:keepNext/>
        <w:tabs>
          <w:tab w:val="left" w:pos="270"/>
        </w:tabs>
        <w:contextualSpacing/>
        <w:jc w:val="both"/>
        <w:rPr>
          <w:sz w:val="18"/>
          <w:szCs w:val="18"/>
        </w:rPr>
      </w:pPr>
      <w:r w:rsidRPr="007A5938">
        <w:rPr>
          <w:sz w:val="18"/>
          <w:szCs w:val="18"/>
        </w:rPr>
        <w:t>*The discrepancy in the total number of TEIs between 2006-2007 and 2010-2011 reflects recent consolidation of TEIs in Hungary.</w:t>
      </w:r>
    </w:p>
    <w:p w:rsidR="006357C5" w:rsidRPr="00DF0CD6" w:rsidRDefault="006357C5" w:rsidP="006357C5">
      <w:pPr>
        <w:tabs>
          <w:tab w:val="left" w:pos="270"/>
        </w:tabs>
        <w:contextualSpacing/>
        <w:jc w:val="both"/>
      </w:pPr>
    </w:p>
    <w:p w:rsidR="006357C5" w:rsidRPr="00DF0CD6" w:rsidRDefault="006357C5" w:rsidP="006357C5">
      <w:pPr>
        <w:jc w:val="both"/>
      </w:pPr>
      <w:r w:rsidRPr="00DF0CD6">
        <w:t>In the last decade, Hungary has developed a well-respected tertiary education system that has positioned it as the most popular destination for international students in all of Central Europe.</w:t>
      </w:r>
      <w:r w:rsidRPr="00DF0CD6">
        <w:rPr>
          <w:vertAlign w:val="superscript"/>
        </w:rPr>
        <w:footnoteReference w:id="31"/>
      </w:r>
      <w:r w:rsidRPr="00DF0CD6">
        <w:t xml:space="preserve"> Between 1991 and 2006, the number of students enrolled in tertiary education grew from over 108,000 to over 400,000, which represents approximately 42% of the 18-24 year-old age cohort in 2009.</w:t>
      </w:r>
      <w:r w:rsidRPr="00DF0CD6">
        <w:rPr>
          <w:vertAlign w:val="superscript"/>
        </w:rPr>
        <w:footnoteReference w:id="32"/>
      </w:r>
      <w:r w:rsidRPr="00DF0CD6">
        <w:t xml:space="preserve"> </w:t>
      </w:r>
    </w:p>
    <w:p w:rsidR="006357C5" w:rsidRDefault="006357C5" w:rsidP="006357C5">
      <w:pPr>
        <w:jc w:val="both"/>
      </w:pPr>
    </w:p>
    <w:p w:rsidR="006357C5" w:rsidRDefault="006357C5" w:rsidP="006357C5">
      <w:pPr>
        <w:jc w:val="both"/>
      </w:pPr>
      <w:r w:rsidRPr="00DF0CD6">
        <w:t>Several actors play a key role in Hungary’s tertiary education system. Most TEIs fall under the supervision of the Ministry of National Resources’ State Secretariat for Education, which has recently replaced the Ministry of Education. The Hungarian Accreditation Committee (MAB) and the Higher Education and Scientific Council (FTT) provide additional counsel.</w:t>
      </w:r>
    </w:p>
    <w:p w:rsidR="006357C5" w:rsidRDefault="006357C5" w:rsidP="006357C5">
      <w:pPr>
        <w:jc w:val="both"/>
      </w:pPr>
    </w:p>
    <w:p w:rsidR="006357C5" w:rsidRPr="00801949" w:rsidRDefault="006357C5" w:rsidP="006357C5">
      <w:pPr>
        <w:rPr>
          <w:b/>
        </w:rPr>
      </w:pPr>
      <w:r w:rsidRPr="00801949">
        <w:rPr>
          <w:b/>
        </w:rPr>
        <w:t>B) Allocation of Costs Between Private and Public Actors</w:t>
      </w:r>
    </w:p>
    <w:p w:rsidR="006357C5" w:rsidRPr="00DF0CD6" w:rsidRDefault="006357C5" w:rsidP="006357C5">
      <w:pPr>
        <w:tabs>
          <w:tab w:val="left" w:pos="270"/>
        </w:tabs>
        <w:contextualSpacing/>
        <w:jc w:val="both"/>
      </w:pPr>
    </w:p>
    <w:p w:rsidR="006357C5" w:rsidRPr="00DF0CD6" w:rsidRDefault="006357C5" w:rsidP="006357C5">
      <w:pPr>
        <w:jc w:val="both"/>
      </w:pPr>
      <w:r w:rsidRPr="00DF0CD6">
        <w:t xml:space="preserve">In Hungary, public education funds benefit both public and private institutions. The Hungarian State provides about 80% of spending on tertiary education, which amounts to 0.9% of GDP (2008). The proportion of public financial aid to students in total public expenditure on tertiary education is 41.6%, compared to the 19.4% OECD average. </w:t>
      </w:r>
    </w:p>
    <w:p w:rsidR="006357C5" w:rsidRPr="00DF0CD6" w:rsidRDefault="006357C5" w:rsidP="006357C5">
      <w:pPr>
        <w:jc w:val="both"/>
      </w:pPr>
    </w:p>
    <w:p w:rsidR="006357C5" w:rsidRPr="00DF0CD6" w:rsidRDefault="006357C5" w:rsidP="006357C5">
      <w:pPr>
        <w:jc w:val="both"/>
      </w:pPr>
      <w:r w:rsidRPr="00DF0CD6">
        <w:t>Most private contributions to tertiary education in Hungary come in the form of tuition fee payments. Tuition fees were introduced in Hungarian public TEIs in 1995. A year later, however, socioeconomic and political debates pushed for the establishment of differentiated tuition fees, leading to the unique dual system currently in place. According to this system, one fraction of tertiary students can study at no cost with the help of State subsidies, while the rest pays tuition fees. Students who pay are selected mainly for academic reasons, including below-average matura scores.</w:t>
      </w:r>
      <w:r w:rsidRPr="00DF0CD6">
        <w:rPr>
          <w:vertAlign w:val="superscript"/>
        </w:rPr>
        <w:footnoteReference w:id="33"/>
      </w:r>
      <w:r w:rsidRPr="00DF0CD6">
        <w:t xml:space="preserve"> In 2008-2009, 75% of full-time students and 19% of part-time students received State financing, while the rest were required to pay fees. The amount of these contributions is defined by TEIs and may differ across fields of study. Since 1998, education has been offered at no cost to first-degree state-funded full-time students, although they may be required to pay small contribution fees.</w:t>
      </w:r>
      <w:r w:rsidRPr="00DF0CD6">
        <w:rPr>
          <w:vertAlign w:val="superscript"/>
        </w:rPr>
        <w:footnoteReference w:id="34"/>
      </w:r>
      <w:r w:rsidRPr="00DF0CD6">
        <w:t xml:space="preserve"> </w:t>
      </w:r>
    </w:p>
    <w:p w:rsidR="006357C5" w:rsidRDefault="006357C5" w:rsidP="006357C5">
      <w:pPr>
        <w:rPr>
          <w:color w:val="4F81BD"/>
        </w:rPr>
      </w:pPr>
    </w:p>
    <w:p w:rsidR="006357C5" w:rsidRDefault="006357C5" w:rsidP="006357C5">
      <w:pPr>
        <w:pStyle w:val="TableHeading"/>
      </w:pPr>
      <w:bookmarkStart w:id="111" w:name="_Toc328382231"/>
      <w:bookmarkStart w:id="112" w:name="_Toc328742915"/>
      <w:r w:rsidRPr="00DF0CD6">
        <w:lastRenderedPageBreak/>
        <w:t xml:space="preserve">Table </w:t>
      </w:r>
      <w:r>
        <w:t>69</w:t>
      </w:r>
      <w:r w:rsidRPr="00DF0CD6">
        <w:t>: Tertiary Education Expenses Borne by Parents and Students, First Degree</w:t>
      </w:r>
      <w:bookmarkEnd w:id="111"/>
      <w:bookmarkEnd w:id="112"/>
    </w:p>
    <w:p w:rsidR="006357C5" w:rsidRDefault="006357C5" w:rsidP="006357C5">
      <w:pPr>
        <w:jc w:val="center"/>
        <w:rPr>
          <w:b/>
        </w:rPr>
      </w:pPr>
      <w:r w:rsidRPr="00DF0CD6">
        <w:rPr>
          <w:b/>
        </w:rPr>
        <w:t>(2006-2007)</w:t>
      </w:r>
    </w:p>
    <w:p w:rsidR="006357C5" w:rsidRDefault="006357C5" w:rsidP="006357C5">
      <w:pPr>
        <w:jc w:val="center"/>
      </w:pPr>
      <w:r>
        <w:rPr>
          <w:noProof/>
        </w:rPr>
        <w:drawing>
          <wp:inline distT="0" distB="0" distL="0" distR="0" wp14:anchorId="2310062B" wp14:editId="38C96ED2">
            <wp:extent cx="4589145" cy="3148330"/>
            <wp:effectExtent l="19050" t="19050" r="20955" b="13970"/>
            <wp:docPr id="67" name="Imagen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1"/>
                    <a:srcRect l="1331" t="6268" r="1451" b="2991"/>
                    <a:stretch>
                      <a:fillRect/>
                    </a:stretch>
                  </pic:blipFill>
                  <pic:spPr bwMode="auto">
                    <a:xfrm>
                      <a:off x="0" y="0"/>
                      <a:ext cx="4589145" cy="3148330"/>
                    </a:xfrm>
                    <a:prstGeom prst="rect">
                      <a:avLst/>
                    </a:prstGeom>
                    <a:noFill/>
                    <a:ln w="9525" cmpd="sng">
                      <a:solidFill>
                        <a:srgbClr val="4F81BD"/>
                      </a:solidFill>
                      <a:miter lim="800000"/>
                      <a:headEnd/>
                      <a:tailEnd/>
                    </a:ln>
                    <a:effectLst/>
                  </pic:spPr>
                </pic:pic>
              </a:graphicData>
            </a:graphic>
          </wp:inline>
        </w:drawing>
      </w:r>
    </w:p>
    <w:p w:rsidR="006357C5" w:rsidRPr="00F45905" w:rsidRDefault="006357C5" w:rsidP="006357C5">
      <w:pPr>
        <w:ind w:left="90" w:firstLine="990"/>
        <w:rPr>
          <w:sz w:val="18"/>
          <w:szCs w:val="18"/>
        </w:rPr>
      </w:pPr>
      <w:r w:rsidRPr="00F45905">
        <w:rPr>
          <w:sz w:val="18"/>
          <w:szCs w:val="18"/>
          <w:u w:val="single"/>
        </w:rPr>
        <w:t>Source</w:t>
      </w:r>
      <w:r w:rsidRPr="00F45905">
        <w:rPr>
          <w:sz w:val="18"/>
          <w:szCs w:val="18"/>
        </w:rPr>
        <w:t>: Singh and Marcucci, 2008. Note: Fees differ across academic disciplines.</w:t>
      </w:r>
    </w:p>
    <w:p w:rsidR="006357C5" w:rsidRPr="00DF0CD6"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rsidR="006357C5" w:rsidRPr="00801949" w:rsidRDefault="006357C5" w:rsidP="006357C5">
      <w:pPr>
        <w:rPr>
          <w:b/>
        </w:rPr>
      </w:pPr>
      <w:r w:rsidRPr="00801949">
        <w:rPr>
          <w:b/>
        </w:rPr>
        <w:t xml:space="preserve">C) Costs of Public Actor Coverage of Student Aid </w:t>
      </w:r>
    </w:p>
    <w:p w:rsidR="006357C5" w:rsidRPr="00DF0CD6" w:rsidRDefault="006357C5" w:rsidP="006357C5">
      <w:pPr>
        <w:tabs>
          <w:tab w:val="left" w:pos="270"/>
        </w:tabs>
        <w:jc w:val="both"/>
      </w:pPr>
    </w:p>
    <w:p w:rsidR="006357C5" w:rsidRPr="00DF0CD6" w:rsidRDefault="006357C5" w:rsidP="006357C5">
      <w:pPr>
        <w:tabs>
          <w:tab w:val="left" w:pos="270"/>
        </w:tabs>
        <w:jc w:val="both"/>
      </w:pPr>
      <w:r w:rsidRPr="00DF0CD6">
        <w:t>In Hungary, student aid is offered through loans and grants. About 21% of full-time students in regular academic programs benefit from public loans only and 35% from grants only (2008-2009).</w:t>
      </w:r>
      <w:r w:rsidRPr="00DF0CD6">
        <w:rPr>
          <w:vertAlign w:val="superscript"/>
        </w:rPr>
        <w:footnoteReference w:id="35"/>
      </w:r>
    </w:p>
    <w:p w:rsidR="006357C5" w:rsidRPr="00DF0CD6" w:rsidRDefault="006357C5" w:rsidP="006357C5">
      <w:pPr>
        <w:tabs>
          <w:tab w:val="left" w:pos="270"/>
        </w:tabs>
        <w:jc w:val="both"/>
      </w:pPr>
    </w:p>
    <w:p w:rsidR="006357C5" w:rsidRPr="00DF0CD6" w:rsidRDefault="006357C5" w:rsidP="006357C5">
      <w:r w:rsidRPr="00DF0CD6">
        <w:t>Student Loan Scheme</w:t>
      </w:r>
    </w:p>
    <w:p w:rsidR="006357C5" w:rsidRDefault="006357C5" w:rsidP="006357C5">
      <w:pPr>
        <w:tabs>
          <w:tab w:val="left" w:pos="270"/>
        </w:tabs>
        <w:jc w:val="both"/>
      </w:pPr>
    </w:p>
    <w:p w:rsidR="006357C5" w:rsidRDefault="006357C5" w:rsidP="006357C5">
      <w:pPr>
        <w:tabs>
          <w:tab w:val="left" w:pos="270"/>
        </w:tabs>
        <w:contextualSpacing/>
        <w:jc w:val="both"/>
      </w:pPr>
      <w:r w:rsidRPr="00DF0CD6">
        <w:t xml:space="preserve">Hungary’s loan scheme emerged from a loan agreement made with the World Bank in 2001. The scheme has been highly praised for its unique operational model, which has resulted in relatively low administrative costs and default rates. This model has been adopted as a standard of reference for the development of other student loan systems in countries such as the United Kingdom. </w:t>
      </w:r>
    </w:p>
    <w:p w:rsidR="006357C5" w:rsidRDefault="006357C5" w:rsidP="006357C5">
      <w:pPr>
        <w:tabs>
          <w:tab w:val="left" w:pos="270"/>
        </w:tabs>
        <w:contextualSpacing/>
        <w:jc w:val="both"/>
      </w:pPr>
    </w:p>
    <w:p w:rsidR="006357C5" w:rsidRDefault="006357C5" w:rsidP="006357C5">
      <w:pPr>
        <w:tabs>
          <w:tab w:val="left" w:pos="270"/>
        </w:tabs>
        <w:contextualSpacing/>
        <w:jc w:val="both"/>
      </w:pPr>
      <w:r w:rsidRPr="00DF0CD6">
        <w:t>The Hungarian student loan scheme is managed by the Student Loan Center (</w:t>
      </w:r>
      <w:r w:rsidRPr="00DF0CD6">
        <w:rPr>
          <w:bCs/>
        </w:rPr>
        <w:t>Diákhitel</w:t>
      </w:r>
      <w:r w:rsidRPr="00DF0CD6">
        <w:t xml:space="preserve">). Founded by the former Ministry of Education, the Center is a non-profit company limited by shares, all of which were purchased by the Hungarian Government in 2002. The Center’s proprietary rights were later transferred to the Hungarian National State Holding Company, and in 2010 the Hungarian Development Bank acquired all ownership rights and obligations. The Hungarian State has retained exclusive ownership of the Student Loan Center. The latter currently exercises the following tasks: record-keeping of clients, student loan disbursement, </w:t>
      </w:r>
      <w:r w:rsidRPr="00DF0CD6">
        <w:lastRenderedPageBreak/>
        <w:t>management of credit accounts, loan collection, management of the Student Loan product, provision of resources required for loan disbursement, and coordination of participating partner institutions. Beyond these responsibilities, the Loan Center is also active in the dissemination of financial knowledge. In 2008, it established the Foundation for Conscious Financial Decisions, now the Money Compass Foundation.</w:t>
      </w:r>
      <w:r w:rsidRPr="00DF0CD6">
        <w:rPr>
          <w:vertAlign w:val="superscript"/>
        </w:rPr>
        <w:footnoteReference w:id="36"/>
      </w:r>
    </w:p>
    <w:p w:rsidR="006357C5" w:rsidRDefault="006357C5" w:rsidP="006357C5">
      <w:pPr>
        <w:tabs>
          <w:tab w:val="left" w:pos="270"/>
        </w:tabs>
        <w:contextualSpacing/>
        <w:jc w:val="both"/>
      </w:pPr>
    </w:p>
    <w:p w:rsidR="006357C5" w:rsidRDefault="006357C5" w:rsidP="006357C5">
      <w:pPr>
        <w:tabs>
          <w:tab w:val="left" w:pos="270"/>
        </w:tabs>
        <w:contextualSpacing/>
        <w:jc w:val="both"/>
      </w:pPr>
      <w:r w:rsidRPr="00DF0CD6">
        <w:t>In 2010, the Student Loan center did not receive financial support from the State, and there is no direct State subsidy in general. Sources of funds for loan disbursement are mainly obtained from open market bond issue and stand-by lines of credit, generally fixed-income securities with cash flows similar to that of treasury bonds. Most long-term loans have been secured from the Hungarian Development Bank (HDB) and the European Investment Bank (EIB). When the scheme was established, funds were provided by the credit limit agreement made with HDB, which has been subsequently amended. In 2003, the Student Loan Center launched its bond program, attaining an almost fourfold over-subscription to the first auction. In 2005, a new EUR 100 million credit limit agreement with the EIB for a period of 15 years was reached with favorable repayment conditions. A second agreement with the EIB was reached in late 2007, for an amount of EUR 150 million. A year later, another five-year credit limit agreement with the HDB, for an amount of HUF 20 billion, was signed. Finally, a HUF 30 billion credit limit agreement was signed with the EIB in 2010.</w:t>
      </w:r>
      <w:r w:rsidRPr="00DF0CD6">
        <w:rPr>
          <w:vertAlign w:val="superscript"/>
        </w:rPr>
        <w:footnoteReference w:id="37"/>
      </w:r>
      <w:r w:rsidRPr="00DF0CD6">
        <w:t xml:space="preserve"> </w:t>
      </w:r>
    </w:p>
    <w:p w:rsidR="006357C5" w:rsidRDefault="006357C5" w:rsidP="006357C5">
      <w:pPr>
        <w:tabs>
          <w:tab w:val="left" w:pos="270"/>
        </w:tabs>
        <w:contextualSpacing/>
        <w:jc w:val="both"/>
      </w:pPr>
    </w:p>
    <w:p w:rsidR="006357C5" w:rsidRDefault="006357C5" w:rsidP="006357C5">
      <w:pPr>
        <w:tabs>
          <w:tab w:val="left" w:pos="270"/>
        </w:tabs>
        <w:contextualSpacing/>
        <w:jc w:val="both"/>
      </w:pPr>
      <w:r w:rsidRPr="00DF0CD6">
        <w:t>Hungary’s student loan scheme has several characteristics. First, loans can be disbursed for ten semesters, up to five months in a semester. Students attending combined, undivided programs whose length exceeds ten terms may have their eligibility period extended to match the training period as long as the latter does not exceed 14 terms.</w:t>
      </w:r>
      <w:r>
        <w:t xml:space="preserve"> </w:t>
      </w:r>
      <w:r w:rsidRPr="00DF0CD6">
        <w:t xml:space="preserve">Students are free to decide how they want to spend these any-purpose funds. Students can also choose whether they receive the loans in monthly installments or in a lump sum every semester. No income, guarantor or other collateral is needed to receive a loan. Once the student has a valid loan contract, it is not necessary to apply again at the beginning of a new academic term. </w:t>
      </w:r>
    </w:p>
    <w:p w:rsidR="006357C5" w:rsidRDefault="006357C5" w:rsidP="006357C5">
      <w:pPr>
        <w:tabs>
          <w:tab w:val="left" w:pos="270"/>
        </w:tabs>
        <w:contextualSpacing/>
        <w:jc w:val="both"/>
      </w:pPr>
    </w:p>
    <w:p w:rsidR="006357C5" w:rsidRDefault="006357C5" w:rsidP="006357C5">
      <w:pPr>
        <w:tabs>
          <w:tab w:val="left" w:pos="270"/>
        </w:tabs>
        <w:contextualSpacing/>
        <w:jc w:val="both"/>
      </w:pPr>
      <w:r w:rsidRPr="00DF0CD6">
        <w:t>In 2010-2011, state-financed students are able request any of these amounts every month: HUF 15,000 ($69 USD), HUF 21,000 ($97 USD), HUF 25,000 ($116 USD), HUF 30,000 ($139 USD) or HUF 40,000 ($185 USD).</w:t>
      </w:r>
      <w:r w:rsidRPr="00DF0CD6">
        <w:rPr>
          <w:vertAlign w:val="superscript"/>
        </w:rPr>
        <w:footnoteReference w:id="38"/>
      </w:r>
    </w:p>
    <w:p w:rsidR="006357C5" w:rsidRDefault="006357C5" w:rsidP="006357C5">
      <w:pPr>
        <w:tabs>
          <w:tab w:val="left" w:pos="270"/>
        </w:tabs>
        <w:contextualSpacing/>
        <w:jc w:val="both"/>
      </w:pPr>
    </w:p>
    <w:p w:rsidR="006357C5" w:rsidRDefault="006357C5" w:rsidP="006357C5">
      <w:pPr>
        <w:tabs>
          <w:tab w:val="left" w:pos="270"/>
        </w:tabs>
        <w:contextualSpacing/>
        <w:jc w:val="both"/>
      </w:pPr>
      <w:r w:rsidRPr="00DF0CD6">
        <w:t>Student loan recipients must meet the following criteria:</w:t>
      </w:r>
    </w:p>
    <w:p w:rsidR="006357C5" w:rsidRDefault="006357C5" w:rsidP="006357C5">
      <w:pPr>
        <w:tabs>
          <w:tab w:val="left" w:pos="270"/>
        </w:tabs>
        <w:contextualSpacing/>
        <w:jc w:val="both"/>
      </w:pPr>
    </w:p>
    <w:p w:rsidR="006357C5" w:rsidRDefault="006357C5" w:rsidP="006357C5">
      <w:pPr>
        <w:numPr>
          <w:ilvl w:val="0"/>
          <w:numId w:val="12"/>
        </w:numPr>
        <w:tabs>
          <w:tab w:val="left" w:pos="270"/>
        </w:tabs>
        <w:contextualSpacing/>
        <w:jc w:val="both"/>
      </w:pPr>
      <w:r w:rsidRPr="00DF0CD6">
        <w:lastRenderedPageBreak/>
        <w:t>≤ 40 years of age</w:t>
      </w:r>
    </w:p>
    <w:p w:rsidR="006357C5" w:rsidRDefault="006357C5" w:rsidP="006357C5">
      <w:pPr>
        <w:numPr>
          <w:ilvl w:val="0"/>
          <w:numId w:val="12"/>
        </w:numPr>
        <w:tabs>
          <w:tab w:val="left" w:pos="270"/>
        </w:tabs>
        <w:contextualSpacing/>
        <w:jc w:val="both"/>
      </w:pPr>
      <w:r w:rsidRPr="00DF0CD6">
        <w:t>Hungarian nationality or</w:t>
      </w:r>
    </w:p>
    <w:p w:rsidR="006357C5" w:rsidRDefault="006357C5" w:rsidP="006357C5">
      <w:pPr>
        <w:numPr>
          <w:ilvl w:val="0"/>
          <w:numId w:val="12"/>
        </w:numPr>
        <w:tabs>
          <w:tab w:val="left" w:pos="270"/>
        </w:tabs>
        <w:contextualSpacing/>
        <w:jc w:val="both"/>
      </w:pPr>
      <w:r w:rsidRPr="00DF0CD6">
        <w:t xml:space="preserve">Permanent residency or </w:t>
      </w:r>
    </w:p>
    <w:p w:rsidR="006357C5" w:rsidRDefault="006357C5" w:rsidP="006357C5">
      <w:pPr>
        <w:numPr>
          <w:ilvl w:val="0"/>
          <w:numId w:val="12"/>
        </w:numPr>
        <w:tabs>
          <w:tab w:val="left" w:pos="270"/>
        </w:tabs>
        <w:contextualSpacing/>
        <w:jc w:val="both"/>
      </w:pPr>
      <w:r w:rsidRPr="00DF0CD6">
        <w:t>Immigration permit or</w:t>
      </w:r>
    </w:p>
    <w:p w:rsidR="006357C5" w:rsidRDefault="006357C5" w:rsidP="006357C5">
      <w:pPr>
        <w:numPr>
          <w:ilvl w:val="0"/>
          <w:numId w:val="12"/>
        </w:numPr>
        <w:tabs>
          <w:tab w:val="left" w:pos="270"/>
        </w:tabs>
        <w:contextualSpacing/>
        <w:jc w:val="both"/>
      </w:pPr>
      <w:r w:rsidRPr="00DF0CD6">
        <w:t>Recognized refugee status</w:t>
      </w:r>
    </w:p>
    <w:p w:rsidR="006357C5" w:rsidRDefault="006357C5" w:rsidP="006357C5">
      <w:pPr>
        <w:numPr>
          <w:ilvl w:val="0"/>
          <w:numId w:val="12"/>
        </w:numPr>
        <w:tabs>
          <w:tab w:val="left" w:pos="270"/>
        </w:tabs>
        <w:contextualSpacing/>
        <w:jc w:val="both"/>
      </w:pPr>
      <w:r w:rsidRPr="00DF0CD6">
        <w:t>Right to stay and move freely in Hungary</w:t>
      </w:r>
    </w:p>
    <w:p w:rsidR="006357C5" w:rsidRDefault="006357C5" w:rsidP="006357C5">
      <w:pPr>
        <w:numPr>
          <w:ilvl w:val="0"/>
          <w:numId w:val="12"/>
        </w:numPr>
        <w:tabs>
          <w:tab w:val="left" w:pos="270"/>
        </w:tabs>
        <w:contextualSpacing/>
        <w:jc w:val="both"/>
      </w:pPr>
      <w:r w:rsidRPr="00DF0CD6">
        <w:t>Valid student status in TEI</w:t>
      </w:r>
    </w:p>
    <w:p w:rsidR="006357C5" w:rsidRDefault="006357C5" w:rsidP="006357C5">
      <w:pPr>
        <w:numPr>
          <w:ilvl w:val="0"/>
          <w:numId w:val="12"/>
        </w:numPr>
        <w:tabs>
          <w:tab w:val="left" w:pos="270"/>
        </w:tabs>
        <w:contextualSpacing/>
        <w:jc w:val="both"/>
      </w:pPr>
      <w:r w:rsidRPr="00DF0CD6">
        <w:t>Report place of residence to central personal information and address database</w:t>
      </w:r>
    </w:p>
    <w:p w:rsidR="006357C5" w:rsidRDefault="006357C5" w:rsidP="006357C5">
      <w:pPr>
        <w:numPr>
          <w:ilvl w:val="0"/>
          <w:numId w:val="12"/>
        </w:numPr>
        <w:tabs>
          <w:tab w:val="left" w:pos="270"/>
        </w:tabs>
        <w:contextualSpacing/>
        <w:jc w:val="both"/>
      </w:pPr>
      <w:r w:rsidRPr="00DF0CD6">
        <w:t>TEI enrollment status</w:t>
      </w:r>
    </w:p>
    <w:p w:rsidR="006357C5" w:rsidRDefault="006357C5" w:rsidP="006357C5">
      <w:pPr>
        <w:numPr>
          <w:ilvl w:val="0"/>
          <w:numId w:val="12"/>
        </w:numPr>
        <w:tabs>
          <w:tab w:val="left" w:pos="270"/>
        </w:tabs>
        <w:contextualSpacing/>
        <w:jc w:val="both"/>
      </w:pPr>
      <w:r w:rsidRPr="00DF0CD6">
        <w:t>No other valid student loan contract</w:t>
      </w:r>
    </w:p>
    <w:p w:rsidR="006357C5" w:rsidRDefault="006357C5" w:rsidP="006357C5">
      <w:pPr>
        <w:numPr>
          <w:ilvl w:val="0"/>
          <w:numId w:val="12"/>
        </w:numPr>
        <w:tabs>
          <w:tab w:val="left" w:pos="270"/>
        </w:tabs>
        <w:contextualSpacing/>
        <w:jc w:val="both"/>
      </w:pPr>
      <w:r w:rsidRPr="00DF0CD6">
        <w:t>Full-time, part-time or correspondence student status</w:t>
      </w:r>
    </w:p>
    <w:p w:rsidR="006357C5" w:rsidRDefault="006357C5" w:rsidP="006357C5">
      <w:pPr>
        <w:tabs>
          <w:tab w:val="left" w:pos="270"/>
        </w:tabs>
        <w:contextualSpacing/>
        <w:jc w:val="both"/>
      </w:pPr>
    </w:p>
    <w:p w:rsidR="006357C5" w:rsidRDefault="006357C5" w:rsidP="006357C5">
      <w:pPr>
        <w:tabs>
          <w:tab w:val="left" w:pos="270"/>
        </w:tabs>
        <w:contextualSpacing/>
        <w:jc w:val="both"/>
      </w:pPr>
      <w:r w:rsidRPr="00DF0CD6">
        <w:t>Interest is charged on student loans from the first day of disbursement, and students are responsible for paying interest until the loan has been paid off. This interest equals the financing cost plus a risk premium (2%) and administration costs (1%). From 1 July 2010 to 31 December 2011, the interest rate amounts to eight percent. Additionally, a transaction interest is charged on the loan amount. Every year on 31 December the Center capitalizes the interest not paid by the debtor in the given year.</w:t>
      </w:r>
    </w:p>
    <w:p w:rsidR="006357C5" w:rsidRDefault="006357C5" w:rsidP="006357C5">
      <w:pPr>
        <w:tabs>
          <w:tab w:val="left" w:pos="270"/>
        </w:tabs>
        <w:contextualSpacing/>
        <w:jc w:val="both"/>
      </w:pPr>
    </w:p>
    <w:p w:rsidR="006357C5" w:rsidRDefault="006357C5" w:rsidP="006357C5">
      <w:pPr>
        <w:tabs>
          <w:tab w:val="left" w:pos="270"/>
        </w:tabs>
        <w:contextualSpacing/>
        <w:jc w:val="both"/>
      </w:pPr>
      <w:r w:rsidRPr="00DF0CD6">
        <w:t xml:space="preserve">The first cycle of repayment since the student loan scheme was introduced began in 2004. This same year, cooperation with the tax authority also started, allowing the Loan Center to delegate the management of borrowers whose total arrears had reached a critical point. In 2005, income-contingent repayment was launched. Table </w:t>
      </w:r>
      <w:r>
        <w:t>70</w:t>
      </w:r>
      <w:r w:rsidRPr="00DF0CD6">
        <w:t xml:space="preserve"> shows total repayments received in 2010.</w:t>
      </w:r>
    </w:p>
    <w:p w:rsidR="006357C5" w:rsidRDefault="006357C5" w:rsidP="006357C5">
      <w:pPr>
        <w:tabs>
          <w:tab w:val="left" w:pos="270"/>
        </w:tabs>
        <w:contextualSpacing/>
        <w:jc w:val="both"/>
      </w:pPr>
    </w:p>
    <w:p w:rsidR="006357C5" w:rsidRDefault="006357C5" w:rsidP="006357C5">
      <w:pPr>
        <w:pStyle w:val="TableHeading"/>
      </w:pPr>
      <w:bookmarkStart w:id="113" w:name="_Toc328382232"/>
      <w:bookmarkStart w:id="114" w:name="_Toc328742916"/>
      <w:r w:rsidRPr="00DF0CD6">
        <w:t xml:space="preserve">Table </w:t>
      </w:r>
      <w:r>
        <w:t>70</w:t>
      </w:r>
      <w:r w:rsidRPr="00DF0CD6">
        <w:t>: Incoming Repayments and Pre-Payments</w:t>
      </w:r>
      <w:bookmarkEnd w:id="113"/>
      <w:r w:rsidRPr="00DF0CD6">
        <w:t xml:space="preserve"> </w:t>
      </w:r>
      <w:bookmarkStart w:id="115" w:name="_Toc328382233"/>
      <w:r w:rsidRPr="00DF0CD6">
        <w:t>(thousands HUF,</w:t>
      </w:r>
      <w:bookmarkEnd w:id="114"/>
    </w:p>
    <w:p w:rsidR="006357C5" w:rsidRDefault="006357C5" w:rsidP="006357C5">
      <w:pPr>
        <w:jc w:val="center"/>
        <w:rPr>
          <w:b/>
        </w:rPr>
      </w:pPr>
      <w:r w:rsidRPr="00DF0CD6">
        <w:rPr>
          <w:b/>
        </w:rPr>
        <w:t>01/01/2010 – 12/31/2010)</w:t>
      </w:r>
      <w:bookmarkEnd w:id="115"/>
    </w:p>
    <w:p w:rsidR="006357C5" w:rsidRDefault="006357C5" w:rsidP="006357C5">
      <w:pPr>
        <w:jc w:val="center"/>
        <w:rPr>
          <w:b/>
        </w:rPr>
      </w:pPr>
    </w:p>
    <w:tbl>
      <w:tblPr>
        <w:tblW w:w="0" w:type="auto"/>
        <w:tblBorders>
          <w:insideH w:val="single" w:sz="4" w:space="0" w:color="FFFFFF"/>
        </w:tblBorders>
        <w:tblLook w:val="00A0" w:firstRow="1" w:lastRow="0" w:firstColumn="1" w:lastColumn="0" w:noHBand="0" w:noVBand="0"/>
      </w:tblPr>
      <w:tblGrid>
        <w:gridCol w:w="3192"/>
        <w:gridCol w:w="3192"/>
        <w:gridCol w:w="3192"/>
      </w:tblGrid>
      <w:tr w:rsidR="006357C5" w:rsidRPr="00DC71B4" w:rsidTr="002554CF">
        <w:tc>
          <w:tcPr>
            <w:tcW w:w="3192" w:type="dxa"/>
            <w:shd w:val="clear" w:color="auto" w:fill="B8CCE4"/>
          </w:tcPr>
          <w:p w:rsidR="006357C5" w:rsidRPr="00DC71B4" w:rsidRDefault="006357C5" w:rsidP="002554CF">
            <w:pPr>
              <w:tabs>
                <w:tab w:val="left" w:pos="270"/>
              </w:tabs>
              <w:contextualSpacing/>
              <w:jc w:val="both"/>
              <w:rPr>
                <w:b/>
                <w:bCs/>
                <w:color w:val="FFFFFF"/>
              </w:rPr>
            </w:pPr>
          </w:p>
        </w:tc>
        <w:tc>
          <w:tcPr>
            <w:tcW w:w="3192" w:type="dxa"/>
            <w:shd w:val="clear" w:color="auto" w:fill="B8CCE4"/>
          </w:tcPr>
          <w:p w:rsidR="006357C5" w:rsidRPr="00DC71B4" w:rsidRDefault="006357C5" w:rsidP="002554CF">
            <w:pPr>
              <w:tabs>
                <w:tab w:val="left" w:pos="270"/>
              </w:tabs>
              <w:contextualSpacing/>
              <w:rPr>
                <w:b/>
                <w:bCs/>
                <w:color w:val="FFFFFF"/>
              </w:rPr>
            </w:pPr>
            <w:r w:rsidRPr="00DC71B4">
              <w:rPr>
                <w:b/>
                <w:bCs/>
                <w:color w:val="FFFFFF"/>
              </w:rPr>
              <w:t>Incoming repayments</w:t>
            </w:r>
          </w:p>
        </w:tc>
        <w:tc>
          <w:tcPr>
            <w:tcW w:w="3192" w:type="dxa"/>
            <w:shd w:val="clear" w:color="auto" w:fill="B8CCE4"/>
          </w:tcPr>
          <w:p w:rsidR="006357C5" w:rsidRPr="00DC71B4" w:rsidRDefault="006357C5" w:rsidP="002554CF">
            <w:pPr>
              <w:tabs>
                <w:tab w:val="left" w:pos="270"/>
              </w:tabs>
              <w:contextualSpacing/>
              <w:rPr>
                <w:b/>
                <w:bCs/>
                <w:color w:val="FFFFFF"/>
              </w:rPr>
            </w:pPr>
            <w:r w:rsidRPr="00DC71B4">
              <w:rPr>
                <w:b/>
                <w:bCs/>
                <w:color w:val="FFFFFF"/>
              </w:rPr>
              <w:t>Incoming pre-payments</w:t>
            </w:r>
          </w:p>
        </w:tc>
      </w:tr>
      <w:tr w:rsidR="006357C5" w:rsidRPr="00DC71B4" w:rsidTr="002554CF">
        <w:tc>
          <w:tcPr>
            <w:tcW w:w="3192" w:type="dxa"/>
            <w:shd w:val="clear" w:color="auto" w:fill="365F91"/>
          </w:tcPr>
          <w:p w:rsidR="006357C5" w:rsidRPr="00DC71B4" w:rsidRDefault="006357C5" w:rsidP="002554CF">
            <w:pPr>
              <w:tabs>
                <w:tab w:val="left" w:pos="270"/>
              </w:tabs>
              <w:contextualSpacing/>
              <w:rPr>
                <w:color w:val="FFFFFF"/>
              </w:rPr>
            </w:pPr>
            <w:r w:rsidRPr="00DC71B4">
              <w:rPr>
                <w:color w:val="FFFFFF"/>
              </w:rPr>
              <w:t>Total repayments received</w:t>
            </w:r>
          </w:p>
        </w:tc>
        <w:tc>
          <w:tcPr>
            <w:tcW w:w="3192" w:type="dxa"/>
            <w:shd w:val="clear" w:color="auto" w:fill="A7BFDE"/>
          </w:tcPr>
          <w:p w:rsidR="006357C5" w:rsidRPr="00DC71B4" w:rsidRDefault="006357C5" w:rsidP="002554CF">
            <w:pPr>
              <w:tabs>
                <w:tab w:val="left" w:pos="270"/>
              </w:tabs>
              <w:contextualSpacing/>
              <w:rPr>
                <w:color w:val="000000"/>
              </w:rPr>
            </w:pPr>
            <w:r w:rsidRPr="00DC71B4">
              <w:rPr>
                <w:color w:val="000000"/>
              </w:rPr>
              <w:t>16,184,520</w:t>
            </w:r>
          </w:p>
        </w:tc>
        <w:tc>
          <w:tcPr>
            <w:tcW w:w="3192" w:type="dxa"/>
            <w:shd w:val="clear" w:color="auto" w:fill="A7BFDE"/>
          </w:tcPr>
          <w:p w:rsidR="006357C5" w:rsidRPr="00DC71B4" w:rsidRDefault="006357C5" w:rsidP="002554CF">
            <w:pPr>
              <w:tabs>
                <w:tab w:val="left" w:pos="270"/>
              </w:tabs>
              <w:contextualSpacing/>
              <w:rPr>
                <w:color w:val="000000"/>
              </w:rPr>
            </w:pPr>
            <w:r w:rsidRPr="00DC71B4">
              <w:rPr>
                <w:color w:val="000000"/>
              </w:rPr>
              <w:t>3,882,436</w:t>
            </w:r>
          </w:p>
        </w:tc>
      </w:tr>
      <w:tr w:rsidR="006357C5" w:rsidRPr="00DC71B4" w:rsidTr="002554CF">
        <w:tc>
          <w:tcPr>
            <w:tcW w:w="3192" w:type="dxa"/>
            <w:shd w:val="clear" w:color="auto" w:fill="365F91"/>
          </w:tcPr>
          <w:p w:rsidR="006357C5" w:rsidRPr="00DC71B4" w:rsidRDefault="006357C5" w:rsidP="002554CF">
            <w:pPr>
              <w:tabs>
                <w:tab w:val="left" w:pos="270"/>
              </w:tabs>
              <w:contextualSpacing/>
              <w:rPr>
                <w:color w:val="FFFFFF"/>
              </w:rPr>
            </w:pPr>
            <w:r w:rsidRPr="00DC71B4">
              <w:rPr>
                <w:color w:val="FFFFFF"/>
              </w:rPr>
              <w:t>Capital repayment from total repayments</w:t>
            </w:r>
          </w:p>
        </w:tc>
        <w:tc>
          <w:tcPr>
            <w:tcW w:w="3192" w:type="dxa"/>
            <w:shd w:val="clear" w:color="auto" w:fill="DBE5F1"/>
          </w:tcPr>
          <w:p w:rsidR="006357C5" w:rsidRPr="00DC71B4" w:rsidRDefault="006357C5" w:rsidP="002554CF">
            <w:pPr>
              <w:tabs>
                <w:tab w:val="left" w:pos="270"/>
              </w:tabs>
              <w:contextualSpacing/>
              <w:rPr>
                <w:color w:val="000000"/>
              </w:rPr>
            </w:pPr>
            <w:r w:rsidRPr="00DC71B4">
              <w:rPr>
                <w:color w:val="000000"/>
              </w:rPr>
              <w:t>8,869,621</w:t>
            </w:r>
          </w:p>
        </w:tc>
        <w:tc>
          <w:tcPr>
            <w:tcW w:w="3192" w:type="dxa"/>
            <w:shd w:val="clear" w:color="auto" w:fill="DBE5F1"/>
          </w:tcPr>
          <w:p w:rsidR="006357C5" w:rsidRPr="00DC71B4" w:rsidRDefault="006357C5" w:rsidP="002554CF">
            <w:pPr>
              <w:tabs>
                <w:tab w:val="left" w:pos="270"/>
              </w:tabs>
              <w:contextualSpacing/>
              <w:rPr>
                <w:color w:val="000000"/>
              </w:rPr>
            </w:pPr>
            <w:r w:rsidRPr="00DC71B4">
              <w:rPr>
                <w:color w:val="000000"/>
              </w:rPr>
              <w:t>3,752,333</w:t>
            </w:r>
          </w:p>
        </w:tc>
      </w:tr>
      <w:tr w:rsidR="006357C5" w:rsidRPr="00DC71B4" w:rsidTr="002554CF">
        <w:tc>
          <w:tcPr>
            <w:tcW w:w="3192" w:type="dxa"/>
            <w:shd w:val="clear" w:color="auto" w:fill="365F91"/>
          </w:tcPr>
          <w:p w:rsidR="006357C5" w:rsidRPr="00DC71B4" w:rsidRDefault="006357C5" w:rsidP="002554CF">
            <w:pPr>
              <w:tabs>
                <w:tab w:val="left" w:pos="270"/>
              </w:tabs>
              <w:contextualSpacing/>
              <w:rPr>
                <w:color w:val="FFFFFF"/>
              </w:rPr>
            </w:pPr>
            <w:r w:rsidRPr="00DC71B4">
              <w:rPr>
                <w:color w:val="FFFFFF"/>
              </w:rPr>
              <w:t>Interest repayment from total repayments</w:t>
            </w:r>
          </w:p>
        </w:tc>
        <w:tc>
          <w:tcPr>
            <w:tcW w:w="3192" w:type="dxa"/>
            <w:shd w:val="clear" w:color="auto" w:fill="A7BFDE"/>
          </w:tcPr>
          <w:p w:rsidR="006357C5" w:rsidRPr="00DC71B4" w:rsidRDefault="006357C5" w:rsidP="002554CF">
            <w:pPr>
              <w:tabs>
                <w:tab w:val="left" w:pos="270"/>
              </w:tabs>
              <w:contextualSpacing/>
              <w:rPr>
                <w:color w:val="000000"/>
              </w:rPr>
            </w:pPr>
            <w:r w:rsidRPr="00DC71B4">
              <w:rPr>
                <w:color w:val="000000"/>
              </w:rPr>
              <w:t>6,763,050</w:t>
            </w:r>
          </w:p>
        </w:tc>
        <w:tc>
          <w:tcPr>
            <w:tcW w:w="3192" w:type="dxa"/>
            <w:shd w:val="clear" w:color="auto" w:fill="A7BFDE"/>
          </w:tcPr>
          <w:p w:rsidR="006357C5" w:rsidRPr="00DC71B4" w:rsidRDefault="006357C5" w:rsidP="002554CF">
            <w:pPr>
              <w:tabs>
                <w:tab w:val="left" w:pos="270"/>
              </w:tabs>
              <w:contextualSpacing/>
              <w:rPr>
                <w:color w:val="000000"/>
              </w:rPr>
            </w:pPr>
            <w:r w:rsidRPr="00DC71B4">
              <w:rPr>
                <w:color w:val="000000"/>
              </w:rPr>
              <w:t>12,618</w:t>
            </w:r>
          </w:p>
        </w:tc>
      </w:tr>
      <w:tr w:rsidR="006357C5" w:rsidRPr="00DC71B4" w:rsidTr="002554CF">
        <w:tc>
          <w:tcPr>
            <w:tcW w:w="3192" w:type="dxa"/>
            <w:shd w:val="clear" w:color="auto" w:fill="365F91"/>
          </w:tcPr>
          <w:p w:rsidR="006357C5" w:rsidRPr="00DC71B4" w:rsidRDefault="006357C5" w:rsidP="002554CF">
            <w:pPr>
              <w:tabs>
                <w:tab w:val="left" w:pos="270"/>
              </w:tabs>
              <w:contextualSpacing/>
              <w:rPr>
                <w:color w:val="FFFFFF"/>
              </w:rPr>
            </w:pPr>
            <w:r w:rsidRPr="00DC71B4">
              <w:rPr>
                <w:color w:val="FFFFFF"/>
              </w:rPr>
              <w:t>Late interest repayment</w:t>
            </w:r>
          </w:p>
        </w:tc>
        <w:tc>
          <w:tcPr>
            <w:tcW w:w="3192" w:type="dxa"/>
            <w:shd w:val="clear" w:color="auto" w:fill="DBE5F1"/>
          </w:tcPr>
          <w:p w:rsidR="006357C5" w:rsidRPr="00DC71B4" w:rsidRDefault="006357C5" w:rsidP="002554CF">
            <w:pPr>
              <w:tabs>
                <w:tab w:val="left" w:pos="270"/>
              </w:tabs>
              <w:contextualSpacing/>
              <w:rPr>
                <w:color w:val="000000"/>
              </w:rPr>
            </w:pPr>
            <w:r w:rsidRPr="00DC71B4">
              <w:rPr>
                <w:color w:val="000000"/>
              </w:rPr>
              <w:t>523,209</w:t>
            </w:r>
          </w:p>
        </w:tc>
        <w:tc>
          <w:tcPr>
            <w:tcW w:w="3192" w:type="dxa"/>
            <w:shd w:val="clear" w:color="auto" w:fill="DBE5F1"/>
          </w:tcPr>
          <w:p w:rsidR="006357C5" w:rsidRPr="00DC71B4" w:rsidRDefault="006357C5" w:rsidP="002554CF">
            <w:pPr>
              <w:tabs>
                <w:tab w:val="left" w:pos="270"/>
              </w:tabs>
              <w:contextualSpacing/>
              <w:jc w:val="center"/>
              <w:rPr>
                <w:color w:val="000000"/>
              </w:rPr>
            </w:pPr>
          </w:p>
        </w:tc>
      </w:tr>
    </w:tbl>
    <w:p w:rsidR="006357C5" w:rsidRPr="00F71402" w:rsidRDefault="006357C5" w:rsidP="006357C5">
      <w:pPr>
        <w:tabs>
          <w:tab w:val="left" w:pos="-90"/>
        </w:tabs>
        <w:contextualSpacing/>
        <w:rPr>
          <w:sz w:val="18"/>
          <w:szCs w:val="18"/>
        </w:rPr>
      </w:pPr>
      <w:r w:rsidRPr="00575059">
        <w:rPr>
          <w:sz w:val="18"/>
          <w:szCs w:val="18"/>
          <w:u w:val="single"/>
        </w:rPr>
        <w:t>Source</w:t>
      </w:r>
      <w:r w:rsidRPr="00575059">
        <w:rPr>
          <w:sz w:val="18"/>
          <w:szCs w:val="18"/>
        </w:rPr>
        <w:t>: Student Loan Center Annual Report 2010</w:t>
      </w:r>
    </w:p>
    <w:p w:rsidR="006357C5" w:rsidRPr="00DF0CD6" w:rsidRDefault="006357C5" w:rsidP="006357C5">
      <w:pPr>
        <w:tabs>
          <w:tab w:val="left" w:pos="270"/>
        </w:tabs>
        <w:contextualSpacing/>
      </w:pPr>
    </w:p>
    <w:p w:rsidR="006357C5" w:rsidRPr="00DF0CD6" w:rsidRDefault="006357C5" w:rsidP="006357C5">
      <w:pPr>
        <w:tabs>
          <w:tab w:val="left" w:pos="270"/>
        </w:tabs>
        <w:contextualSpacing/>
        <w:jc w:val="both"/>
      </w:pPr>
      <w:r w:rsidRPr="00DF0CD6">
        <w:t xml:space="preserve">Borrowers must start repayment in the fourth month after the end of their student status. During the first two years of repayment, borrowers are required to pay six percent of the minimum wage as of 31 October in the previous year. From the third year of repayment, monthly fees are calculated based on the income earned two years before. For example, in 2011, borrowers who are at least in their third year of repayment have to pay six percent of the income they earned in 2009. Those that earned little o no income two years earlier still pay six percent of the minimum wage in the previous year. Different rules apply to those who have taken out HUF 50,000 ($231 USD) per month at least once. These borrowers have to pay at least eight percent of the </w:t>
      </w:r>
      <w:r w:rsidRPr="00DF0CD6">
        <w:lastRenderedPageBreak/>
        <w:t>minimum wage in the first and second year of repayment, and at least eight percent of the income they earned two years earlier from the third year of repayment (even if the loan recipient had little or no income two years earlier). In addition to the regular repayment schedule, students may submit voluntary payments at any time during the loan period, which reduces the principal balance and thus the length of the loan repayment period. No fees are charged on voluntary payments.</w:t>
      </w:r>
      <w:r w:rsidRPr="00DF0CD6">
        <w:rPr>
          <w:vertAlign w:val="superscript"/>
        </w:rPr>
        <w:footnoteReference w:id="39"/>
      </w:r>
      <w:r w:rsidRPr="00DF0CD6">
        <w:t xml:space="preserve"> </w:t>
      </w:r>
    </w:p>
    <w:p w:rsidR="006357C5" w:rsidRPr="00DF0CD6" w:rsidRDefault="006357C5" w:rsidP="006357C5">
      <w:pPr>
        <w:contextualSpacing/>
      </w:pPr>
    </w:p>
    <w:p w:rsidR="006357C5" w:rsidRDefault="006357C5" w:rsidP="006357C5">
      <w:pPr>
        <w:pStyle w:val="TableHeading"/>
      </w:pPr>
      <w:bookmarkStart w:id="116" w:name="_Toc328382234"/>
      <w:bookmarkStart w:id="117" w:name="_Toc328742917"/>
      <w:r w:rsidRPr="00DF0CD6">
        <w:t xml:space="preserve">Table </w:t>
      </w:r>
      <w:r>
        <w:t>71</w:t>
      </w:r>
      <w:r w:rsidRPr="00DF0CD6">
        <w:t>: Loan Repayment Regulations</w:t>
      </w:r>
      <w:bookmarkEnd w:id="116"/>
      <w:bookmarkEnd w:id="117"/>
    </w:p>
    <w:p w:rsidR="006357C5" w:rsidRPr="00DF0CD6" w:rsidRDefault="006357C5" w:rsidP="006357C5">
      <w:pPr>
        <w:rPr>
          <w:b/>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192"/>
        <w:gridCol w:w="3192"/>
        <w:gridCol w:w="3192"/>
      </w:tblGrid>
      <w:tr w:rsidR="006357C5" w:rsidRPr="00DC71B4" w:rsidTr="002554CF">
        <w:tc>
          <w:tcPr>
            <w:tcW w:w="3192" w:type="dxa"/>
            <w:tcBorders>
              <w:top w:val="single" w:sz="8" w:space="0" w:color="FFFFFF"/>
              <w:bottom w:val="single" w:sz="24" w:space="0" w:color="FFFFFF"/>
              <w:right w:val="single" w:sz="8" w:space="0" w:color="FFFFFF"/>
            </w:tcBorders>
            <w:shd w:val="clear" w:color="auto" w:fill="FFFFFF"/>
          </w:tcPr>
          <w:p w:rsidR="006357C5" w:rsidRPr="00DC71B4" w:rsidRDefault="006357C5" w:rsidP="002554CF">
            <w:pPr>
              <w:contextualSpacing/>
              <w:rPr>
                <w:b/>
                <w:bCs/>
                <w:color w:val="FFFFFF"/>
              </w:rPr>
            </w:pPr>
          </w:p>
        </w:tc>
        <w:tc>
          <w:tcPr>
            <w:tcW w:w="3192" w:type="dxa"/>
            <w:tcBorders>
              <w:top w:val="single" w:sz="8" w:space="0" w:color="FFFFFF"/>
              <w:left w:val="single" w:sz="8" w:space="0" w:color="FFFFFF"/>
              <w:bottom w:val="single" w:sz="24" w:space="0" w:color="FFFFFF"/>
              <w:right w:val="single" w:sz="8" w:space="0" w:color="FFFFFF"/>
            </w:tcBorders>
            <w:shd w:val="clear" w:color="auto" w:fill="4F81BD"/>
          </w:tcPr>
          <w:p w:rsidR="006357C5" w:rsidRPr="00DC71B4" w:rsidRDefault="006357C5" w:rsidP="002554CF">
            <w:pPr>
              <w:contextualSpacing/>
              <w:rPr>
                <w:b/>
                <w:bCs/>
                <w:color w:val="FFFFFF"/>
              </w:rPr>
            </w:pPr>
            <w:r w:rsidRPr="00DC71B4">
              <w:rPr>
                <w:b/>
                <w:bCs/>
                <w:color w:val="FFFFFF"/>
              </w:rPr>
              <w:t>1</w:t>
            </w:r>
            <w:r w:rsidRPr="00DC71B4">
              <w:rPr>
                <w:b/>
                <w:bCs/>
                <w:color w:val="FFFFFF"/>
                <w:vertAlign w:val="superscript"/>
              </w:rPr>
              <w:t>st</w:t>
            </w:r>
            <w:r w:rsidRPr="00DC71B4">
              <w:rPr>
                <w:b/>
                <w:bCs/>
                <w:color w:val="FFFFFF"/>
              </w:rPr>
              <w:t xml:space="preserve"> and 2</w:t>
            </w:r>
            <w:r w:rsidRPr="00DC71B4">
              <w:rPr>
                <w:b/>
                <w:bCs/>
                <w:color w:val="FFFFFF"/>
                <w:vertAlign w:val="superscript"/>
              </w:rPr>
              <w:t>nd</w:t>
            </w:r>
            <w:r w:rsidRPr="00DC71B4">
              <w:rPr>
                <w:b/>
                <w:bCs/>
                <w:color w:val="FFFFFF"/>
              </w:rPr>
              <w:t xml:space="preserve"> year repayment</w:t>
            </w:r>
          </w:p>
        </w:tc>
        <w:tc>
          <w:tcPr>
            <w:tcW w:w="3192" w:type="dxa"/>
            <w:tcBorders>
              <w:top w:val="single" w:sz="8" w:space="0" w:color="FFFFFF"/>
              <w:left w:val="single" w:sz="8" w:space="0" w:color="FFFFFF"/>
              <w:bottom w:val="single" w:sz="24" w:space="0" w:color="FFFFFF"/>
            </w:tcBorders>
            <w:shd w:val="clear" w:color="auto" w:fill="4F81BD"/>
          </w:tcPr>
          <w:p w:rsidR="006357C5" w:rsidRPr="00DC71B4" w:rsidRDefault="006357C5" w:rsidP="002554CF">
            <w:pPr>
              <w:contextualSpacing/>
              <w:rPr>
                <w:b/>
                <w:bCs/>
                <w:color w:val="FFFFFF"/>
              </w:rPr>
            </w:pPr>
            <w:r w:rsidRPr="00DC71B4">
              <w:rPr>
                <w:b/>
                <w:bCs/>
                <w:color w:val="FFFFFF"/>
              </w:rPr>
              <w:t>3</w:t>
            </w:r>
            <w:r w:rsidRPr="00DC71B4">
              <w:rPr>
                <w:b/>
                <w:bCs/>
                <w:color w:val="FFFFFF"/>
                <w:vertAlign w:val="superscript"/>
              </w:rPr>
              <w:t>rd</w:t>
            </w:r>
            <w:r w:rsidRPr="00DC71B4">
              <w:rPr>
                <w:b/>
                <w:bCs/>
                <w:color w:val="FFFFFF"/>
              </w:rPr>
              <w:t xml:space="preserve"> year –</w:t>
            </w:r>
          </w:p>
        </w:tc>
      </w:tr>
      <w:tr w:rsidR="006357C5" w:rsidRPr="00DC71B4" w:rsidTr="002554CF">
        <w:tc>
          <w:tcPr>
            <w:tcW w:w="3192" w:type="dxa"/>
            <w:tcBorders>
              <w:top w:val="single" w:sz="8" w:space="0" w:color="FFFFFF"/>
              <w:bottom w:val="nil"/>
              <w:right w:val="single" w:sz="24" w:space="0" w:color="FFFFFF"/>
            </w:tcBorders>
            <w:shd w:val="clear" w:color="auto" w:fill="4F81BD"/>
          </w:tcPr>
          <w:p w:rsidR="006357C5" w:rsidRPr="00DC71B4" w:rsidRDefault="006357C5" w:rsidP="002554CF">
            <w:pPr>
              <w:contextualSpacing/>
              <w:rPr>
                <w:b/>
                <w:bCs/>
                <w:color w:val="FFFFFF"/>
              </w:rPr>
            </w:pPr>
            <w:r w:rsidRPr="00DC71B4">
              <w:rPr>
                <w:b/>
                <w:bCs/>
                <w:color w:val="FFFFFF"/>
              </w:rPr>
              <w:t>Borrowers of &lt; HUF 50,000/month</w:t>
            </w:r>
          </w:p>
        </w:tc>
        <w:tc>
          <w:tcPr>
            <w:tcW w:w="3192" w:type="dxa"/>
            <w:tcBorders>
              <w:top w:val="single" w:sz="8" w:space="0" w:color="FFFFFF"/>
              <w:left w:val="single" w:sz="8" w:space="0" w:color="FFFFFF"/>
              <w:bottom w:val="single" w:sz="8" w:space="0" w:color="FFFFFF"/>
              <w:right w:val="single" w:sz="8" w:space="0" w:color="FFFFFF"/>
            </w:tcBorders>
            <w:shd w:val="clear" w:color="auto" w:fill="A7BFDE"/>
          </w:tcPr>
          <w:p w:rsidR="006357C5" w:rsidRPr="00DC71B4" w:rsidRDefault="006357C5" w:rsidP="002554CF">
            <w:pPr>
              <w:contextualSpacing/>
            </w:pPr>
            <w:r w:rsidRPr="00DC71B4">
              <w:t>6% of minimum wage as of 31 October in the previous year</w:t>
            </w:r>
          </w:p>
        </w:tc>
        <w:tc>
          <w:tcPr>
            <w:tcW w:w="3192" w:type="dxa"/>
            <w:tcBorders>
              <w:top w:val="single" w:sz="8" w:space="0" w:color="FFFFFF"/>
              <w:left w:val="single" w:sz="8" w:space="0" w:color="FFFFFF"/>
              <w:bottom w:val="single" w:sz="8" w:space="0" w:color="FFFFFF"/>
            </w:tcBorders>
            <w:shd w:val="clear" w:color="auto" w:fill="A7BFDE"/>
          </w:tcPr>
          <w:p w:rsidR="006357C5" w:rsidRPr="00DC71B4" w:rsidRDefault="006357C5" w:rsidP="002554CF">
            <w:pPr>
              <w:contextualSpacing/>
            </w:pPr>
            <w:r w:rsidRPr="00DC71B4">
              <w:t xml:space="preserve">Fees of 6% of income earned 2 years earlier </w:t>
            </w:r>
          </w:p>
        </w:tc>
      </w:tr>
      <w:tr w:rsidR="006357C5" w:rsidRPr="00DC71B4" w:rsidTr="002554CF">
        <w:tc>
          <w:tcPr>
            <w:tcW w:w="3192" w:type="dxa"/>
            <w:tcBorders>
              <w:bottom w:val="single" w:sz="8" w:space="0" w:color="FFFFFF"/>
              <w:right w:val="single" w:sz="24" w:space="0" w:color="FFFFFF"/>
            </w:tcBorders>
            <w:shd w:val="clear" w:color="auto" w:fill="4F81BD"/>
          </w:tcPr>
          <w:p w:rsidR="006357C5" w:rsidRPr="00DC71B4" w:rsidRDefault="006357C5" w:rsidP="002554CF">
            <w:pPr>
              <w:contextualSpacing/>
              <w:rPr>
                <w:b/>
                <w:bCs/>
                <w:color w:val="FFFFFF"/>
              </w:rPr>
            </w:pPr>
            <w:r w:rsidRPr="00DC71B4">
              <w:rPr>
                <w:b/>
                <w:bCs/>
                <w:color w:val="FFFFFF"/>
              </w:rPr>
              <w:t>Borrowers of ≥ HUF 50,000/month (at least once)</w:t>
            </w:r>
          </w:p>
        </w:tc>
        <w:tc>
          <w:tcPr>
            <w:tcW w:w="3192" w:type="dxa"/>
            <w:tcBorders>
              <w:bottom w:val="single" w:sz="8" w:space="0" w:color="FFFFFF"/>
            </w:tcBorders>
            <w:shd w:val="clear" w:color="auto" w:fill="D3DFEE"/>
          </w:tcPr>
          <w:p w:rsidR="006357C5" w:rsidRPr="00DC71B4" w:rsidRDefault="006357C5" w:rsidP="002554CF">
            <w:pPr>
              <w:contextualSpacing/>
            </w:pPr>
            <w:r w:rsidRPr="00DC71B4">
              <w:t xml:space="preserve">Fees of ≥ 8% of minimum wage </w:t>
            </w:r>
          </w:p>
        </w:tc>
        <w:tc>
          <w:tcPr>
            <w:tcW w:w="3192" w:type="dxa"/>
            <w:tcBorders>
              <w:bottom w:val="single" w:sz="8" w:space="0" w:color="FFFFFF"/>
            </w:tcBorders>
            <w:shd w:val="clear" w:color="auto" w:fill="D3DFEE"/>
          </w:tcPr>
          <w:p w:rsidR="006357C5" w:rsidRPr="00DC71B4" w:rsidRDefault="006357C5" w:rsidP="002554CF">
            <w:pPr>
              <w:contextualSpacing/>
            </w:pPr>
            <w:r w:rsidRPr="00DC71B4">
              <w:t xml:space="preserve">Fees of ≥ 8% of income earned 2 years earlier </w:t>
            </w:r>
          </w:p>
        </w:tc>
      </w:tr>
    </w:tbl>
    <w:p w:rsidR="006357C5" w:rsidRPr="00F71402" w:rsidRDefault="006357C5" w:rsidP="006357C5">
      <w:pPr>
        <w:contextualSpacing/>
        <w:rPr>
          <w:sz w:val="18"/>
          <w:szCs w:val="18"/>
        </w:rPr>
      </w:pPr>
      <w:r w:rsidRPr="00575059">
        <w:rPr>
          <w:sz w:val="18"/>
          <w:szCs w:val="18"/>
          <w:u w:val="single"/>
        </w:rPr>
        <w:t>Source</w:t>
      </w:r>
      <w:r w:rsidRPr="00575059">
        <w:rPr>
          <w:sz w:val="18"/>
          <w:szCs w:val="18"/>
        </w:rPr>
        <w:t xml:space="preserve">: www.diakhitel.hu </w:t>
      </w:r>
    </w:p>
    <w:p w:rsidR="006357C5" w:rsidRPr="00DF0CD6" w:rsidRDefault="006357C5" w:rsidP="006357C5">
      <w:pPr>
        <w:contextualSpacing/>
      </w:pPr>
    </w:p>
    <w:p w:rsidR="006357C5" w:rsidRPr="00DF0CD6" w:rsidRDefault="006357C5" w:rsidP="006357C5">
      <w:pPr>
        <w:contextualSpacing/>
        <w:jc w:val="both"/>
      </w:pPr>
      <w:r w:rsidRPr="00DF0CD6">
        <w:t>In order to apply for a loan, students must complete electronic forms available through Student Loan Direct, a loan-management interface available to borrowers on the Student Loan Center website. Students then print the forms and submit them at selected branches of partner banks and saving cooperatives. Before a loan can be disbursed, universities must confirm the student’s official status. Once this status is confirmed the Student Loan Center transfers the loan to students’ bank accounts on the next disbursement day. If TEIs fail to confirm the official student status, the Center sends a letter to applicants asking them for proof of enrollment. B</w:t>
      </w:r>
      <w:r w:rsidRPr="00DF0CD6">
        <w:rPr>
          <w:lang w:val="en-GB"/>
        </w:rPr>
        <w:t>orrowers can designate the credit institution that will hold their accounts and to which the loan will be transferred.</w:t>
      </w:r>
    </w:p>
    <w:p w:rsidR="006357C5" w:rsidRPr="00DF0CD6" w:rsidRDefault="006357C5" w:rsidP="006357C5">
      <w:pPr>
        <w:contextualSpacing/>
        <w:jc w:val="both"/>
      </w:pPr>
    </w:p>
    <w:p w:rsidR="006357C5" w:rsidRDefault="006357C5" w:rsidP="006357C5">
      <w:pPr>
        <w:contextualSpacing/>
        <w:jc w:val="both"/>
      </w:pPr>
      <w:r w:rsidRPr="00DF0CD6">
        <w:t xml:space="preserve">Student Loan Centers may transfer the whole or parts of a requested student loan to TEIs for the purposes of paying tuition and tuition contribution. TEIs are eligible for these arrangements if they have a cooperation agreement with the Student Loan Center in effect for the academic year in question. The requested loan will be transferred to the TEI in a one-time disbursement. </w:t>
      </w:r>
    </w:p>
    <w:p w:rsidR="006357C5" w:rsidRDefault="006357C5" w:rsidP="006357C5">
      <w:pPr>
        <w:contextualSpacing/>
        <w:jc w:val="both"/>
      </w:pPr>
    </w:p>
    <w:p w:rsidR="006357C5" w:rsidRDefault="006357C5" w:rsidP="006357C5">
      <w:pPr>
        <w:contextualSpacing/>
        <w:jc w:val="both"/>
      </w:pPr>
      <w:r w:rsidRPr="00DF0CD6">
        <w:t xml:space="preserve">The Student Loan Center recently provided a solution to a common problem among student borrowers. In order to apply for a loan students need to prove their official student status, and in the case of self-financed students, most TEIs provide this proof only after the student has paid required fees. For this reason, it had been impossible to fund the tuition fee directly from the student loan. Starting in 2008, students had the opportunity to sign an agreement with the Loan Center to be allowed to enroll without paying the tuition fee. Through this arrangement, students can transfer a portion of their loan directly to the TEI’s account. These “assignments” can be renewed every semester. </w:t>
      </w:r>
    </w:p>
    <w:p w:rsidR="006357C5" w:rsidRDefault="006357C5" w:rsidP="006357C5">
      <w:pPr>
        <w:tabs>
          <w:tab w:val="left" w:pos="270"/>
        </w:tabs>
        <w:contextualSpacing/>
        <w:jc w:val="both"/>
      </w:pPr>
    </w:p>
    <w:p w:rsidR="006357C5" w:rsidRDefault="006357C5" w:rsidP="006357C5">
      <w:pPr>
        <w:tabs>
          <w:tab w:val="left" w:pos="270"/>
        </w:tabs>
        <w:contextualSpacing/>
        <w:jc w:val="both"/>
      </w:pPr>
      <w:r w:rsidRPr="00DF0CD6">
        <w:t xml:space="preserve">Suspension of payment obligations during a supported period may be awarded to those eligible for a disability pension, disability allowance, or accident-related disability. Those eligible for </w:t>
      </w:r>
      <w:r w:rsidRPr="00DF0CD6">
        <w:lastRenderedPageBreak/>
        <w:t xml:space="preserve">pregnancy confinement benefit, maternity benefit or child care allowance may also suspend their payments. The latter group, moreover, qualifies for a targeted interest subsidy (TIS), which provides State-coverage of interest accrued on the loan. </w:t>
      </w:r>
    </w:p>
    <w:p w:rsidR="006357C5" w:rsidRDefault="006357C5" w:rsidP="006357C5">
      <w:pPr>
        <w:tabs>
          <w:tab w:val="left" w:pos="270"/>
        </w:tabs>
        <w:contextualSpacing/>
        <w:jc w:val="both"/>
      </w:pPr>
    </w:p>
    <w:p w:rsidR="006357C5" w:rsidRDefault="006357C5" w:rsidP="006357C5">
      <w:pPr>
        <w:tabs>
          <w:tab w:val="left" w:pos="270"/>
        </w:tabs>
        <w:contextualSpacing/>
        <w:jc w:val="both"/>
      </w:pPr>
      <w:r w:rsidRPr="00DF0CD6">
        <w:t>Loan contracts can be cancelled in any of four situations:</w:t>
      </w:r>
    </w:p>
    <w:p w:rsidR="006357C5" w:rsidRDefault="006357C5" w:rsidP="006357C5">
      <w:pPr>
        <w:tabs>
          <w:tab w:val="left" w:pos="270"/>
        </w:tabs>
        <w:contextualSpacing/>
        <w:jc w:val="both"/>
      </w:pPr>
    </w:p>
    <w:p w:rsidR="006357C5" w:rsidRDefault="006357C5" w:rsidP="006357C5">
      <w:pPr>
        <w:numPr>
          <w:ilvl w:val="0"/>
          <w:numId w:val="13"/>
        </w:numPr>
        <w:tabs>
          <w:tab w:val="left" w:pos="270"/>
        </w:tabs>
        <w:contextualSpacing/>
        <w:jc w:val="both"/>
      </w:pPr>
      <w:r w:rsidRPr="00DF0CD6">
        <w:t xml:space="preserve">The amount of overdue debt is at least as much as six times the monthly payment, unless the borrower pays arrears by the indicated deadline. </w:t>
      </w:r>
    </w:p>
    <w:p w:rsidR="006357C5" w:rsidRDefault="006357C5" w:rsidP="006357C5">
      <w:pPr>
        <w:numPr>
          <w:ilvl w:val="0"/>
          <w:numId w:val="13"/>
        </w:numPr>
        <w:tabs>
          <w:tab w:val="left" w:pos="270"/>
        </w:tabs>
        <w:contextualSpacing/>
        <w:jc w:val="both"/>
      </w:pPr>
      <w:r w:rsidRPr="00DF0CD6">
        <w:t>Loan was disbursed even though borrower did not meet eligibility criteria.</w:t>
      </w:r>
    </w:p>
    <w:p w:rsidR="006357C5" w:rsidRDefault="006357C5" w:rsidP="006357C5">
      <w:pPr>
        <w:numPr>
          <w:ilvl w:val="0"/>
          <w:numId w:val="13"/>
        </w:numPr>
        <w:tabs>
          <w:tab w:val="left" w:pos="270"/>
        </w:tabs>
        <w:contextualSpacing/>
        <w:jc w:val="both"/>
      </w:pPr>
      <w:r w:rsidRPr="00DF0CD6">
        <w:t>Material breach of the contract.</w:t>
      </w:r>
    </w:p>
    <w:p w:rsidR="006357C5" w:rsidRDefault="006357C5" w:rsidP="006357C5">
      <w:pPr>
        <w:tabs>
          <w:tab w:val="left" w:pos="270"/>
        </w:tabs>
        <w:jc w:val="both"/>
      </w:pPr>
    </w:p>
    <w:p w:rsidR="006357C5" w:rsidRDefault="006357C5" w:rsidP="006357C5">
      <w:pPr>
        <w:tabs>
          <w:tab w:val="left" w:pos="270"/>
        </w:tabs>
        <w:jc w:val="both"/>
      </w:pPr>
      <w:r w:rsidRPr="00DF0CD6">
        <w:t>Cancellation implies that the borrower has to pay the loan in a lump sum within eight days. Failure to meet this deadline results in the transfer of the case to the relevant authority.</w:t>
      </w:r>
    </w:p>
    <w:p w:rsidR="006357C5" w:rsidRDefault="006357C5" w:rsidP="006357C5">
      <w:pPr>
        <w:tabs>
          <w:tab w:val="left" w:pos="270"/>
        </w:tabs>
        <w:contextualSpacing/>
        <w:jc w:val="both"/>
      </w:pPr>
    </w:p>
    <w:p w:rsidR="006357C5" w:rsidRDefault="006357C5" w:rsidP="006357C5">
      <w:pPr>
        <w:tabs>
          <w:tab w:val="left" w:pos="270"/>
        </w:tabs>
        <w:jc w:val="both"/>
      </w:pPr>
      <w:r w:rsidRPr="00DF0CD6">
        <w:t>Disbursement and collection figures confirm the success of the Hungarian loan scheme. In 2009, the total amount borrowed was HUF 157,950,199 ($731,250 USD), versus HUF 171,916,886 ($795,912 USD) in 2010. The average student loan in 2010 had a value of HUF 38,439 ($178 USD) per month.</w:t>
      </w:r>
      <w:r w:rsidRPr="00DF0CD6">
        <w:rPr>
          <w:vertAlign w:val="superscript"/>
        </w:rPr>
        <w:footnoteReference w:id="40"/>
      </w:r>
      <w:r w:rsidRPr="00DF0CD6">
        <w:t xml:space="preserve"> As of the end of 2010, moreover, 122,339 individuals had entered the repayment period. In 2011, 31,000 borrowers will enter repayment period, of which 25,000 are expected to fully repay their loans.</w:t>
      </w:r>
      <w:r w:rsidRPr="00DF0CD6">
        <w:rPr>
          <w:vertAlign w:val="superscript"/>
        </w:rPr>
        <w:footnoteReference w:id="41"/>
      </w:r>
      <w:r w:rsidRPr="00DF0CD6">
        <w:t xml:space="preserve"> </w:t>
      </w:r>
    </w:p>
    <w:p w:rsidR="006357C5" w:rsidRDefault="006357C5" w:rsidP="006357C5">
      <w:pPr>
        <w:tabs>
          <w:tab w:val="left" w:pos="270"/>
        </w:tabs>
      </w:pPr>
    </w:p>
    <w:p w:rsidR="006357C5" w:rsidRDefault="006357C5" w:rsidP="006357C5">
      <w:pPr>
        <w:pStyle w:val="TableHeading"/>
        <w:keepNext/>
      </w:pPr>
      <w:bookmarkStart w:id="118" w:name="_Toc328382235"/>
      <w:bookmarkStart w:id="119" w:name="_Toc328742918"/>
      <w:r w:rsidRPr="00DF0CD6">
        <w:t xml:space="preserve">Table </w:t>
      </w:r>
      <w:r>
        <w:t>72</w:t>
      </w:r>
      <w:r w:rsidRPr="00DF0CD6">
        <w:t>: Characteristics of Loan Beneficiaries</w:t>
      </w:r>
      <w:bookmarkEnd w:id="118"/>
      <w:bookmarkEnd w:id="119"/>
    </w:p>
    <w:p w:rsidR="006357C5" w:rsidRPr="00DF0CD6" w:rsidRDefault="006357C5" w:rsidP="006357C5">
      <w:pPr>
        <w:keepNext/>
        <w:tabs>
          <w:tab w:val="left" w:pos="270"/>
        </w:tabs>
        <w:rPr>
          <w:b/>
          <w:color w:val="4F81BD"/>
        </w:rPr>
      </w:pPr>
    </w:p>
    <w:tbl>
      <w:tblPr>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3192"/>
        <w:gridCol w:w="3192"/>
        <w:gridCol w:w="3192"/>
      </w:tblGrid>
      <w:tr w:rsidR="006357C5" w:rsidRPr="00DC71B4" w:rsidTr="002554CF">
        <w:tc>
          <w:tcPr>
            <w:tcW w:w="3192" w:type="dxa"/>
            <w:shd w:val="clear" w:color="auto" w:fill="D3DFEE"/>
          </w:tcPr>
          <w:p w:rsidR="006357C5" w:rsidRPr="00DC71B4" w:rsidRDefault="006357C5" w:rsidP="002554CF">
            <w:pPr>
              <w:keepNext/>
              <w:tabs>
                <w:tab w:val="left" w:pos="270"/>
              </w:tabs>
              <w:rPr>
                <w:b/>
                <w:bCs/>
              </w:rPr>
            </w:pPr>
            <w:r w:rsidRPr="00DC71B4">
              <w:rPr>
                <w:b/>
                <w:bCs/>
              </w:rPr>
              <w:t>Average age of beneficiaries</w:t>
            </w:r>
          </w:p>
        </w:tc>
        <w:tc>
          <w:tcPr>
            <w:tcW w:w="3192" w:type="dxa"/>
            <w:shd w:val="clear" w:color="auto" w:fill="D3DFEE"/>
          </w:tcPr>
          <w:p w:rsidR="006357C5" w:rsidRPr="00DC71B4" w:rsidRDefault="006357C5" w:rsidP="002554CF">
            <w:pPr>
              <w:keepNext/>
              <w:tabs>
                <w:tab w:val="left" w:pos="270"/>
              </w:tabs>
              <w:rPr>
                <w:b/>
                <w:bCs/>
              </w:rPr>
            </w:pPr>
            <w:r w:rsidRPr="00DC71B4">
              <w:rPr>
                <w:b/>
                <w:bCs/>
              </w:rPr>
              <w:t>Average % of women</w:t>
            </w:r>
          </w:p>
        </w:tc>
        <w:tc>
          <w:tcPr>
            <w:tcW w:w="3192" w:type="dxa"/>
            <w:shd w:val="clear" w:color="auto" w:fill="D3DFEE"/>
          </w:tcPr>
          <w:p w:rsidR="006357C5" w:rsidRPr="00DC71B4" w:rsidRDefault="006357C5" w:rsidP="002554CF">
            <w:pPr>
              <w:keepNext/>
              <w:tabs>
                <w:tab w:val="left" w:pos="270"/>
              </w:tabs>
              <w:rPr>
                <w:b/>
                <w:bCs/>
              </w:rPr>
            </w:pPr>
            <w:r w:rsidRPr="00DC71B4">
              <w:rPr>
                <w:b/>
                <w:bCs/>
              </w:rPr>
              <w:t>Average % in 18-24 age group</w:t>
            </w:r>
          </w:p>
        </w:tc>
      </w:tr>
      <w:tr w:rsidR="006357C5" w:rsidRPr="00DC71B4" w:rsidTr="002554CF">
        <w:tc>
          <w:tcPr>
            <w:tcW w:w="3192" w:type="dxa"/>
            <w:shd w:val="clear" w:color="auto" w:fill="A7BFDE"/>
          </w:tcPr>
          <w:p w:rsidR="006357C5" w:rsidRPr="00DC71B4" w:rsidRDefault="006357C5" w:rsidP="002554CF">
            <w:pPr>
              <w:keepNext/>
              <w:tabs>
                <w:tab w:val="left" w:pos="270"/>
              </w:tabs>
              <w:rPr>
                <w:b/>
                <w:bCs/>
                <w:color w:val="000000"/>
              </w:rPr>
            </w:pPr>
            <w:r w:rsidRPr="00DC71B4">
              <w:rPr>
                <w:b/>
                <w:bCs/>
                <w:color w:val="000000"/>
              </w:rPr>
              <w:t>24</w:t>
            </w:r>
          </w:p>
        </w:tc>
        <w:tc>
          <w:tcPr>
            <w:tcW w:w="3192" w:type="dxa"/>
            <w:shd w:val="clear" w:color="auto" w:fill="A7BFDE"/>
          </w:tcPr>
          <w:p w:rsidR="006357C5" w:rsidRPr="00DC71B4" w:rsidRDefault="006357C5" w:rsidP="002554CF">
            <w:pPr>
              <w:keepNext/>
              <w:tabs>
                <w:tab w:val="left" w:pos="270"/>
              </w:tabs>
              <w:rPr>
                <w:color w:val="000000"/>
              </w:rPr>
            </w:pPr>
            <w:r w:rsidRPr="00DC71B4">
              <w:rPr>
                <w:color w:val="000000"/>
              </w:rPr>
              <w:t>56</w:t>
            </w:r>
          </w:p>
        </w:tc>
        <w:tc>
          <w:tcPr>
            <w:tcW w:w="3192" w:type="dxa"/>
            <w:shd w:val="clear" w:color="auto" w:fill="A7BFDE"/>
          </w:tcPr>
          <w:p w:rsidR="006357C5" w:rsidRPr="00DC71B4" w:rsidRDefault="006357C5" w:rsidP="002554CF">
            <w:pPr>
              <w:keepNext/>
              <w:tabs>
                <w:tab w:val="left" w:pos="270"/>
              </w:tabs>
              <w:rPr>
                <w:color w:val="000000"/>
              </w:rPr>
            </w:pPr>
            <w:r w:rsidRPr="00DC71B4">
              <w:rPr>
                <w:color w:val="000000"/>
              </w:rPr>
              <w:t>73</w:t>
            </w:r>
          </w:p>
        </w:tc>
      </w:tr>
    </w:tbl>
    <w:p w:rsidR="006357C5" w:rsidRPr="00F71402" w:rsidRDefault="006357C5" w:rsidP="006357C5">
      <w:pPr>
        <w:keepNext/>
        <w:tabs>
          <w:tab w:val="left" w:pos="270"/>
        </w:tabs>
        <w:rPr>
          <w:sz w:val="18"/>
          <w:szCs w:val="18"/>
        </w:rPr>
      </w:pPr>
      <w:r w:rsidRPr="00575059">
        <w:rPr>
          <w:sz w:val="18"/>
          <w:szCs w:val="18"/>
          <w:u w:val="single"/>
        </w:rPr>
        <w:t>Source</w:t>
      </w:r>
      <w:r w:rsidRPr="00575059">
        <w:rPr>
          <w:sz w:val="18"/>
          <w:szCs w:val="18"/>
        </w:rPr>
        <w:t>: Student Loan Center Annual Report 2010</w:t>
      </w:r>
    </w:p>
    <w:p w:rsidR="006357C5" w:rsidRPr="00DF0CD6" w:rsidRDefault="006357C5" w:rsidP="006357C5">
      <w:pPr>
        <w:tabs>
          <w:tab w:val="left" w:pos="270"/>
        </w:tabs>
        <w:contextualSpacing/>
        <w:rPr>
          <w:sz w:val="20"/>
          <w:szCs w:val="20"/>
        </w:rPr>
      </w:pPr>
    </w:p>
    <w:p w:rsidR="006357C5" w:rsidRPr="00DF0CD6" w:rsidRDefault="006357C5" w:rsidP="006357C5">
      <w:pPr>
        <w:tabs>
          <w:tab w:val="left" w:pos="270"/>
        </w:tabs>
        <w:contextualSpacing/>
        <w:jc w:val="both"/>
      </w:pPr>
      <w:r w:rsidRPr="00DF0CD6">
        <w:t>The following table demonstrates that the financial investment in student loans has increased consistently since the first disbursement in 2002. This investment has also remained constantly above HUF 20 billion.</w:t>
      </w:r>
    </w:p>
    <w:p w:rsidR="006357C5" w:rsidRDefault="006357C5" w:rsidP="006357C5">
      <w:pPr>
        <w:rPr>
          <w:color w:val="4F81BD"/>
        </w:rPr>
      </w:pPr>
    </w:p>
    <w:p w:rsidR="006357C5" w:rsidRDefault="006357C5" w:rsidP="006357C5">
      <w:pPr>
        <w:pStyle w:val="TableHeading"/>
      </w:pPr>
      <w:bookmarkStart w:id="120" w:name="_Toc328382236"/>
      <w:bookmarkStart w:id="121" w:name="_Toc328742919"/>
      <w:r w:rsidRPr="00575059">
        <w:t xml:space="preserve">Table </w:t>
      </w:r>
      <w:r>
        <w:t>73</w:t>
      </w:r>
      <w:r w:rsidRPr="00575059">
        <w:t>: Financial Investment in Student Loans</w:t>
      </w:r>
      <w:bookmarkEnd w:id="120"/>
      <w:bookmarkEnd w:id="121"/>
    </w:p>
    <w:p w:rsidR="006357C5" w:rsidRDefault="006357C5" w:rsidP="006357C5">
      <w:pPr>
        <w:pStyle w:val="TableHeading"/>
      </w:pPr>
    </w:p>
    <w:p w:rsidR="006357C5" w:rsidRDefault="006357C5" w:rsidP="006357C5">
      <w:pPr>
        <w:tabs>
          <w:tab w:val="left" w:pos="270"/>
        </w:tabs>
        <w:contextualSpacing/>
        <w:jc w:val="center"/>
        <w:rPr>
          <w:b/>
          <w:color w:val="000000"/>
        </w:rPr>
      </w:pPr>
      <w:r>
        <w:rPr>
          <w:noProof/>
        </w:rPr>
        <w:lastRenderedPageBreak/>
        <w:drawing>
          <wp:inline distT="0" distB="0" distL="0" distR="0" wp14:anchorId="207718E3" wp14:editId="14027BB5">
            <wp:extent cx="2855595" cy="2708910"/>
            <wp:effectExtent l="57150" t="38100" r="40005" b="1524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2"/>
                    <a:srcRect/>
                    <a:stretch>
                      <a:fillRect/>
                    </a:stretch>
                  </pic:blipFill>
                  <pic:spPr bwMode="auto">
                    <a:xfrm>
                      <a:off x="0" y="0"/>
                      <a:ext cx="2855595" cy="2708910"/>
                    </a:xfrm>
                    <a:prstGeom prst="rect">
                      <a:avLst/>
                    </a:prstGeom>
                    <a:noFill/>
                    <a:ln w="38100" cmpd="sng">
                      <a:solidFill>
                        <a:srgbClr val="4F81BD"/>
                      </a:solidFill>
                      <a:miter lim="800000"/>
                      <a:headEnd/>
                      <a:tailEnd/>
                    </a:ln>
                    <a:effectLst/>
                  </pic:spPr>
                </pic:pic>
              </a:graphicData>
            </a:graphic>
          </wp:inline>
        </w:drawing>
      </w:r>
    </w:p>
    <w:p w:rsidR="006357C5" w:rsidRPr="00F45905" w:rsidRDefault="006357C5" w:rsidP="006357C5">
      <w:pPr>
        <w:ind w:left="2430"/>
        <w:rPr>
          <w:sz w:val="18"/>
          <w:szCs w:val="18"/>
        </w:rPr>
      </w:pPr>
      <w:r w:rsidRPr="00F45905">
        <w:rPr>
          <w:sz w:val="18"/>
          <w:szCs w:val="18"/>
          <w:u w:val="single"/>
        </w:rPr>
        <w:t>Source</w:t>
      </w:r>
      <w:r w:rsidRPr="00F45905">
        <w:rPr>
          <w:sz w:val="18"/>
          <w:szCs w:val="18"/>
        </w:rPr>
        <w:t>: www.diakhitel.com</w:t>
      </w:r>
    </w:p>
    <w:p w:rsidR="006357C5" w:rsidRPr="00DF0CD6" w:rsidRDefault="006357C5" w:rsidP="006357C5">
      <w:pPr>
        <w:tabs>
          <w:tab w:val="left" w:pos="270"/>
        </w:tabs>
        <w:rPr>
          <w:sz w:val="20"/>
          <w:szCs w:val="20"/>
        </w:rPr>
      </w:pPr>
    </w:p>
    <w:p w:rsidR="006357C5" w:rsidRPr="00DF0CD6" w:rsidRDefault="006357C5" w:rsidP="006357C5">
      <w:r w:rsidRPr="00DF0CD6">
        <w:t>Student Scholarships</w:t>
      </w:r>
    </w:p>
    <w:p w:rsidR="006357C5" w:rsidRPr="00DF0CD6" w:rsidRDefault="006357C5" w:rsidP="006357C5">
      <w:pPr>
        <w:tabs>
          <w:tab w:val="left" w:pos="270"/>
        </w:tabs>
        <w:jc w:val="both"/>
      </w:pPr>
    </w:p>
    <w:p w:rsidR="006357C5" w:rsidRPr="00DF0CD6" w:rsidRDefault="006357C5" w:rsidP="006357C5">
      <w:pPr>
        <w:widowControl w:val="0"/>
        <w:autoSpaceDE w:val="0"/>
        <w:autoSpaceDN w:val="0"/>
        <w:adjustRightInd w:val="0"/>
        <w:jc w:val="both"/>
      </w:pPr>
      <w:r w:rsidRPr="00DF0CD6">
        <w:t>In 2007, the former Ministry of Education decided to grant between 35% and 40% of its scholarship fund to students of socioeconomic need and 60% to merit-based students. The standard annual scholarship award is approximately $678.</w:t>
      </w:r>
      <w:r w:rsidRPr="00DF0CD6">
        <w:rPr>
          <w:vertAlign w:val="superscript"/>
        </w:rPr>
        <w:footnoteReference w:id="42"/>
      </w:r>
      <w:r w:rsidRPr="00DF0CD6">
        <w:t xml:space="preserve"> Hungarian universities also award merit-based grants out of their resources.</w:t>
      </w:r>
    </w:p>
    <w:p w:rsidR="006357C5" w:rsidRDefault="006357C5" w:rsidP="006357C5">
      <w:pPr>
        <w:tabs>
          <w:tab w:val="left" w:pos="270"/>
        </w:tabs>
        <w:jc w:val="both"/>
      </w:pPr>
    </w:p>
    <w:p w:rsidR="006357C5" w:rsidRDefault="006357C5" w:rsidP="006357C5">
      <w:pPr>
        <w:rPr>
          <w:b/>
        </w:rPr>
      </w:pPr>
      <w:r>
        <w:rPr>
          <w:b/>
        </w:rPr>
        <w:t xml:space="preserve">D) </w:t>
      </w:r>
      <w:r w:rsidRPr="00575059">
        <w:rPr>
          <w:b/>
        </w:rPr>
        <w:t>Tensions in the System: Recent Reforms and Prospects of Reform in the Midterm</w:t>
      </w:r>
    </w:p>
    <w:p w:rsidR="006357C5" w:rsidRPr="00DF0CD6" w:rsidRDefault="006357C5" w:rsidP="006357C5">
      <w:pPr>
        <w:ind w:left="2160"/>
        <w:contextualSpacing/>
        <w:jc w:val="both"/>
      </w:pPr>
    </w:p>
    <w:p w:rsidR="006357C5" w:rsidRPr="00DF0CD6" w:rsidRDefault="006357C5" w:rsidP="006357C5">
      <w:pPr>
        <w:jc w:val="both"/>
        <w:rPr>
          <w:bCs/>
        </w:rPr>
      </w:pPr>
      <w:r w:rsidRPr="00DF0CD6">
        <w:rPr>
          <w:bCs/>
        </w:rPr>
        <w:t xml:space="preserve">Hungary has recently announced a Structural Reform Program (Szell Kalman Plan) that will be implemented from 2011 through 2014. This policy plan, which introduces fiscal adjustment to reduce high public debt, may have a serious impact on tertiary education in the country. In a report released March 2011, the Ministry for the National Economy claims that some of the projected reforms react to “an education system with significant public resources that does not serve the interests of the economy, does not create value and, as a whole, increases public debt.” This report cites youth unemployment due to ineffective guidance, the creation of unnecessary degree subjects to attract student enrollment, and unfulfilled labor market expectations to support the argument that “the Hungarian government has been wasting tens of billions of HUF each year.” Thus, the report justifies the reforms’ emphasis on allowing the Government to define student demand in terms of numbers, fields and quality of professions. A new higher education system that incorporates this approach will be launched on 1 September 2012. </w:t>
      </w:r>
    </w:p>
    <w:p w:rsidR="006357C5" w:rsidRPr="00DF0CD6" w:rsidRDefault="006357C5" w:rsidP="006357C5">
      <w:pPr>
        <w:jc w:val="both"/>
        <w:rPr>
          <w:bCs/>
        </w:rPr>
      </w:pPr>
    </w:p>
    <w:p w:rsidR="006357C5" w:rsidRPr="00DF0CD6" w:rsidRDefault="006357C5" w:rsidP="006357C5">
      <w:pPr>
        <w:jc w:val="both"/>
        <w:rPr>
          <w:bCs/>
        </w:rPr>
      </w:pPr>
      <w:r w:rsidRPr="00DF0CD6">
        <w:rPr>
          <w:bCs/>
        </w:rPr>
        <w:t xml:space="preserve">Students have expressed discontent toward announced cuts in tertiary education funding and expected reduction of student autonomy. Indeed, projected changes include reducing the tertiary education budget by 12 billion forints in 2012 and 38 billion forints by 2013. Reduction </w:t>
      </w:r>
      <w:r w:rsidRPr="00DF0CD6">
        <w:rPr>
          <w:bCs/>
        </w:rPr>
        <w:lastRenderedPageBreak/>
        <w:t>and reallocation of tuition subsidies to higher education will bring savings of 16 billion forints by 2013. Elimination of educational capacities not utilized and termination of statutory financing needs will bring combined savings of about HUF 23 billion by 2013.</w:t>
      </w:r>
      <w:r w:rsidRPr="00DF0CD6">
        <w:rPr>
          <w:bCs/>
          <w:vertAlign w:val="superscript"/>
        </w:rPr>
        <w:footnoteReference w:id="43"/>
      </w:r>
      <w:r w:rsidRPr="00DF0CD6">
        <w:rPr>
          <w:bCs/>
        </w:rPr>
        <w:t xml:space="preserve"> </w:t>
      </w:r>
    </w:p>
    <w:p w:rsidR="006357C5" w:rsidRPr="00DF0CD6" w:rsidRDefault="006357C5" w:rsidP="006357C5">
      <w:pPr>
        <w:jc w:val="both"/>
        <w:rPr>
          <w:bCs/>
        </w:rPr>
      </w:pPr>
    </w:p>
    <w:p w:rsidR="006357C5" w:rsidRDefault="006357C5" w:rsidP="006357C5">
      <w:pPr>
        <w:jc w:val="both"/>
      </w:pPr>
      <w:r w:rsidRPr="00DF0CD6">
        <w:rPr>
          <w:bCs/>
        </w:rPr>
        <w:t xml:space="preserve">In part, recent educational reforms in Hungary have sought to counteract alarming </w:t>
      </w:r>
      <w:r w:rsidRPr="00DF0CD6">
        <w:t>non-completion rates in the tertiary education sector.</w:t>
      </w:r>
      <w:r>
        <w:t xml:space="preserve"> </w:t>
      </w:r>
      <w:r w:rsidRPr="00DF0CD6">
        <w:t>In 2005, 45% of students left school without a tertiary qualification. Among the OECD countries, this failure rate is exceeded only by New Zealand and the United States (2009).</w:t>
      </w:r>
      <w:r w:rsidRPr="00DF0CD6">
        <w:rPr>
          <w:vertAlign w:val="superscript"/>
        </w:rPr>
        <w:footnoteReference w:id="44"/>
      </w:r>
      <w:r w:rsidRPr="00DF0CD6">
        <w:t xml:space="preserve"> </w:t>
      </w:r>
    </w:p>
    <w:p w:rsidR="006357C5" w:rsidRDefault="006357C5" w:rsidP="006357C5">
      <w:pPr>
        <w:jc w:val="both"/>
      </w:pPr>
    </w:p>
    <w:p w:rsidR="006357C5" w:rsidRDefault="006357C5" w:rsidP="006357C5">
      <w:pPr>
        <w:pStyle w:val="Heading2"/>
      </w:pPr>
      <w:bookmarkStart w:id="122" w:name="_Toc312158936"/>
      <w:bookmarkStart w:id="123" w:name="_Toc315363054"/>
      <w:bookmarkStart w:id="124" w:name="_Toc327186211"/>
      <w:bookmarkStart w:id="125" w:name="_Toc328573835"/>
      <w:bookmarkStart w:id="126" w:name="_Toc345342928"/>
      <w:r w:rsidRPr="00575059">
        <w:t>South Africa</w:t>
      </w:r>
      <w:bookmarkEnd w:id="122"/>
      <w:bookmarkEnd w:id="123"/>
      <w:bookmarkEnd w:id="124"/>
      <w:bookmarkEnd w:id="125"/>
      <w:bookmarkEnd w:id="126"/>
    </w:p>
    <w:p w:rsidR="006357C5" w:rsidRPr="00DF0CD6" w:rsidRDefault="006357C5" w:rsidP="006357C5"/>
    <w:p w:rsidR="006357C5" w:rsidRPr="00034AC3" w:rsidRDefault="006357C5" w:rsidP="006357C5">
      <w:pPr>
        <w:rPr>
          <w:b/>
        </w:rPr>
      </w:pPr>
      <w:r w:rsidRPr="00034AC3">
        <w:rPr>
          <w:b/>
        </w:rPr>
        <w:t>A) Overview of tertiary education financing</w:t>
      </w:r>
    </w:p>
    <w:p w:rsidR="006357C5" w:rsidRPr="00DF0CD6" w:rsidRDefault="006357C5" w:rsidP="006357C5"/>
    <w:p w:rsidR="006357C5" w:rsidRDefault="006357C5" w:rsidP="006357C5">
      <w:pPr>
        <w:pStyle w:val="NoSpacing"/>
        <w:spacing w:line="276" w:lineRule="auto"/>
        <w:jc w:val="both"/>
        <w:rPr>
          <w:rFonts w:ascii="Arial" w:hAnsi="Arial" w:cs="Arial"/>
        </w:rPr>
      </w:pPr>
      <w:r w:rsidRPr="00DF0CD6">
        <w:rPr>
          <w:rFonts w:ascii="Arial" w:hAnsi="Arial" w:cs="Arial"/>
        </w:rPr>
        <w:t>South Africa has a population of approximately 49 million individuals and a GDP per capita of $10,700. The country has a Gini coefficient of .65, which indicates a very high level of inequality. Government revenue from taxes and other sources is equal to 26.3% of GDP.</w:t>
      </w:r>
    </w:p>
    <w:p w:rsidR="006357C5" w:rsidRDefault="006357C5" w:rsidP="006357C5">
      <w:pPr>
        <w:pStyle w:val="NoSpacing"/>
        <w:spacing w:line="276" w:lineRule="auto"/>
        <w:jc w:val="both"/>
        <w:rPr>
          <w:rFonts w:ascii="Arial" w:hAnsi="Arial" w:cs="Arial"/>
        </w:rPr>
      </w:pPr>
    </w:p>
    <w:p w:rsidR="006357C5" w:rsidRDefault="006357C5" w:rsidP="006357C5">
      <w:pPr>
        <w:pStyle w:val="TableHeading"/>
      </w:pPr>
      <w:bookmarkStart w:id="127" w:name="_Toc328742920"/>
      <w:r w:rsidRPr="00DF0CD6">
        <w:t xml:space="preserve">Table </w:t>
      </w:r>
      <w:r>
        <w:t>74:</w:t>
      </w:r>
      <w:r w:rsidRPr="00DF0CD6">
        <w:t xml:space="preserve"> South Africa: Basic Facts</w:t>
      </w:r>
      <w:bookmarkEnd w:id="127"/>
    </w:p>
    <w:p w:rsidR="006357C5" w:rsidRPr="00DF0CD6" w:rsidRDefault="006357C5" w:rsidP="006357C5">
      <w:pPr>
        <w:pStyle w:val="TableHeading"/>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48"/>
        <w:gridCol w:w="3528"/>
      </w:tblGrid>
      <w:tr w:rsidR="006357C5" w:rsidRPr="00DC71B4" w:rsidTr="002554CF">
        <w:trPr>
          <w:trHeight w:val="395"/>
          <w:jc w:val="center"/>
        </w:trPr>
        <w:tc>
          <w:tcPr>
            <w:tcW w:w="6048"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Cs/>
              </w:rPr>
            </w:pPr>
            <w:r w:rsidRPr="00DC71B4">
              <w:rPr>
                <w:iCs/>
              </w:rPr>
              <w:t>Population (millions) (2010)</w:t>
            </w:r>
          </w:p>
        </w:tc>
        <w:tc>
          <w:tcPr>
            <w:tcW w:w="3528"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Cs/>
              </w:rPr>
            </w:pPr>
            <w:r w:rsidRPr="00DC71B4">
              <w:rPr>
                <w:iCs/>
              </w:rPr>
              <w:t>51.5</w:t>
            </w:r>
          </w:p>
        </w:tc>
      </w:tr>
      <w:tr w:rsidR="006357C5" w:rsidRPr="00DC71B4" w:rsidTr="002554CF">
        <w:trPr>
          <w:trHeight w:val="485"/>
          <w:jc w:val="center"/>
        </w:trPr>
        <w:tc>
          <w:tcPr>
            <w:tcW w:w="6048"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Cs/>
              </w:rPr>
            </w:pPr>
            <w:r w:rsidRPr="00DC71B4">
              <w:rPr>
                <w:iCs/>
              </w:rPr>
              <w:t>GDP per capita (US$, current prices and PPP) (2009)</w:t>
            </w:r>
          </w:p>
        </w:tc>
        <w:tc>
          <w:tcPr>
            <w:tcW w:w="3528"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Cs/>
              </w:rPr>
            </w:pPr>
            <w:r w:rsidRPr="00DC71B4">
              <w:rPr>
                <w:iCs/>
              </w:rPr>
              <w:t>10,238</w:t>
            </w:r>
          </w:p>
        </w:tc>
      </w:tr>
      <w:tr w:rsidR="006357C5" w:rsidRPr="00DC71B4" w:rsidTr="002554CF">
        <w:trPr>
          <w:trHeight w:val="395"/>
          <w:jc w:val="center"/>
        </w:trPr>
        <w:tc>
          <w:tcPr>
            <w:tcW w:w="6048"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Cs/>
              </w:rPr>
            </w:pPr>
            <w:r w:rsidRPr="00DC71B4">
              <w:rPr>
                <w:iCs/>
              </w:rPr>
              <w:t>Gini coefficient (2005)</w:t>
            </w:r>
          </w:p>
        </w:tc>
        <w:tc>
          <w:tcPr>
            <w:tcW w:w="3528"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Cs/>
              </w:rPr>
            </w:pPr>
            <w:r w:rsidRPr="00DC71B4">
              <w:rPr>
                <w:iCs/>
              </w:rPr>
              <w:t>0.65</w:t>
            </w:r>
          </w:p>
        </w:tc>
      </w:tr>
      <w:tr w:rsidR="006357C5" w:rsidRPr="00DC71B4" w:rsidTr="002554CF">
        <w:trPr>
          <w:jc w:val="center"/>
        </w:trPr>
        <w:tc>
          <w:tcPr>
            <w:tcW w:w="6048"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Cs/>
              </w:rPr>
            </w:pPr>
            <w:r w:rsidRPr="00DC71B4">
              <w:rPr>
                <w:iCs/>
              </w:rPr>
              <w:t>Total government revenue as a percentage of GDP (2010)</w:t>
            </w:r>
          </w:p>
        </w:tc>
        <w:tc>
          <w:tcPr>
            <w:tcW w:w="3528" w:type="dxa"/>
          </w:tcPr>
          <w:p w:rsidR="006357C5" w:rsidRPr="00DC71B4" w:rsidRDefault="006357C5" w:rsidP="002554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Cs/>
              </w:rPr>
            </w:pPr>
            <w:r w:rsidRPr="00DC71B4">
              <w:rPr>
                <w:iCs/>
              </w:rPr>
              <w:t>26.3</w:t>
            </w:r>
          </w:p>
        </w:tc>
      </w:tr>
    </w:tbl>
    <w:p w:rsidR="006357C5" w:rsidRDefault="006357C5" w:rsidP="006357C5">
      <w:pPr>
        <w:pStyle w:val="NoSpacing"/>
        <w:spacing w:line="276" w:lineRule="auto"/>
        <w:ind w:left="-90"/>
        <w:rPr>
          <w:rFonts w:ascii="Arial" w:hAnsi="Arial" w:cs="Arial"/>
          <w:sz w:val="18"/>
          <w:szCs w:val="18"/>
        </w:rPr>
      </w:pPr>
      <w:r w:rsidRPr="007A5938">
        <w:rPr>
          <w:rFonts w:ascii="Arial" w:hAnsi="Arial"/>
          <w:sz w:val="18"/>
          <w:u w:val="single"/>
        </w:rPr>
        <w:t>Sources:</w:t>
      </w:r>
      <w:r w:rsidRPr="007A5938">
        <w:rPr>
          <w:rFonts w:ascii="Arial" w:hAnsi="Arial" w:cs="Arial"/>
          <w:sz w:val="18"/>
          <w:szCs w:val="18"/>
          <w:u w:val="single"/>
        </w:rPr>
        <w:t xml:space="preserve"> </w:t>
      </w:r>
      <w:r w:rsidRPr="00575059">
        <w:rPr>
          <w:rFonts w:ascii="Arial" w:hAnsi="Arial" w:cs="Arial"/>
          <w:sz w:val="18"/>
          <w:szCs w:val="18"/>
        </w:rPr>
        <w:t>OECD Stats (first two rows); CIA World Factbook 2011 (last two rows)</w:t>
      </w:r>
    </w:p>
    <w:p w:rsidR="006357C5" w:rsidRDefault="006357C5" w:rsidP="006357C5">
      <w:pPr>
        <w:pStyle w:val="NoSpacing"/>
        <w:spacing w:line="276" w:lineRule="auto"/>
        <w:jc w:val="both"/>
        <w:rPr>
          <w:rFonts w:ascii="Arial" w:hAnsi="Arial" w:cs="Arial"/>
        </w:rPr>
      </w:pPr>
    </w:p>
    <w:p w:rsidR="006357C5" w:rsidRDefault="006357C5" w:rsidP="006357C5">
      <w:pPr>
        <w:pStyle w:val="NoSpacing"/>
        <w:spacing w:line="276" w:lineRule="auto"/>
        <w:jc w:val="both"/>
        <w:rPr>
          <w:rFonts w:ascii="Arial" w:hAnsi="Arial" w:cs="Arial"/>
        </w:rPr>
      </w:pPr>
      <w:r w:rsidRPr="00DF0CD6">
        <w:rPr>
          <w:rFonts w:ascii="Arial" w:hAnsi="Arial" w:cs="Arial"/>
        </w:rPr>
        <w:t>South Africa has three types of state funded tertiary education institutions (TEIs): traditional universities, which are research-oriented; universities of technology, which are vocational; and comprehensive universities, which offer both research-oriented and vocational courses of study. There are currently 11 traditional universities, 6 universities of technology, and 6 comprehensive universities. They collectively enroll approximately 761,000 students (International Education Association of South Africa [IEASA]).</w:t>
      </w:r>
    </w:p>
    <w:p w:rsidR="006357C5" w:rsidRDefault="006357C5" w:rsidP="006357C5">
      <w:pPr>
        <w:pStyle w:val="NoSpacing"/>
        <w:spacing w:line="276" w:lineRule="auto"/>
        <w:ind w:firstLine="720"/>
        <w:jc w:val="both"/>
        <w:rPr>
          <w:rFonts w:ascii="Arial" w:hAnsi="Arial" w:cs="Arial"/>
        </w:rPr>
      </w:pPr>
    </w:p>
    <w:p w:rsidR="006357C5" w:rsidRDefault="006357C5" w:rsidP="006357C5">
      <w:pPr>
        <w:pStyle w:val="TableHeading"/>
      </w:pPr>
      <w:bookmarkStart w:id="128" w:name="_Toc328742921"/>
      <w:r w:rsidRPr="00DF0CD6">
        <w:t xml:space="preserve">Table </w:t>
      </w:r>
      <w:r>
        <w:t>75</w:t>
      </w:r>
      <w:r w:rsidRPr="00DF0CD6">
        <w:t>: Student enrollment in public higher education by institution type and race, 2007</w:t>
      </w:r>
      <w:bookmarkEnd w:id="128"/>
    </w:p>
    <w:p w:rsidR="006357C5" w:rsidRPr="00DF0CD6" w:rsidRDefault="006357C5" w:rsidP="006357C5">
      <w:pPr>
        <w:pStyle w:val="TableHeading"/>
      </w:pPr>
    </w:p>
    <w:tbl>
      <w:tblPr>
        <w:tblW w:w="9058" w:type="dxa"/>
        <w:jc w:val="center"/>
        <w:tblInd w:w="-2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3105"/>
        <w:gridCol w:w="1012"/>
        <w:gridCol w:w="1049"/>
        <w:gridCol w:w="960"/>
        <w:gridCol w:w="960"/>
        <w:gridCol w:w="1012"/>
        <w:gridCol w:w="960"/>
      </w:tblGrid>
      <w:tr w:rsidR="006357C5" w:rsidRPr="00DC71B4" w:rsidTr="002554CF">
        <w:trPr>
          <w:trHeight w:val="300"/>
          <w:jc w:val="center"/>
        </w:trPr>
        <w:tc>
          <w:tcPr>
            <w:tcW w:w="3105" w:type="dxa"/>
            <w:shd w:val="clear" w:color="auto" w:fill="F2F2F2"/>
            <w:noWrap/>
            <w:vAlign w:val="center"/>
          </w:tcPr>
          <w:p w:rsidR="006357C5" w:rsidRPr="00DC71B4" w:rsidRDefault="006357C5" w:rsidP="002554CF">
            <w:pPr>
              <w:rPr>
                <w:b/>
                <w:bCs/>
                <w:color w:val="000000"/>
              </w:rPr>
            </w:pPr>
            <w:r w:rsidRPr="00DC71B4">
              <w:rPr>
                <w:b/>
                <w:bCs/>
                <w:color w:val="000000"/>
              </w:rPr>
              <w:t>Type of Institution</w:t>
            </w:r>
          </w:p>
        </w:tc>
        <w:tc>
          <w:tcPr>
            <w:tcW w:w="1012" w:type="dxa"/>
            <w:shd w:val="clear" w:color="auto" w:fill="F2F2F2"/>
            <w:noWrap/>
            <w:vAlign w:val="center"/>
          </w:tcPr>
          <w:p w:rsidR="006357C5" w:rsidRPr="00DC71B4" w:rsidRDefault="006357C5" w:rsidP="002554CF">
            <w:pPr>
              <w:rPr>
                <w:b/>
                <w:bCs/>
                <w:color w:val="000000"/>
              </w:rPr>
            </w:pPr>
            <w:r w:rsidRPr="00DC71B4">
              <w:rPr>
                <w:b/>
                <w:bCs/>
                <w:color w:val="000000"/>
              </w:rPr>
              <w:t>African</w:t>
            </w:r>
          </w:p>
        </w:tc>
        <w:tc>
          <w:tcPr>
            <w:tcW w:w="1049" w:type="dxa"/>
            <w:shd w:val="clear" w:color="auto" w:fill="F2F2F2"/>
            <w:noWrap/>
            <w:vAlign w:val="center"/>
          </w:tcPr>
          <w:p w:rsidR="006357C5" w:rsidRPr="00DC71B4" w:rsidRDefault="006357C5" w:rsidP="002554CF">
            <w:pPr>
              <w:rPr>
                <w:b/>
                <w:bCs/>
                <w:color w:val="000000"/>
              </w:rPr>
            </w:pPr>
            <w:r w:rsidRPr="00DC71B4">
              <w:rPr>
                <w:b/>
                <w:bCs/>
                <w:color w:val="000000"/>
              </w:rPr>
              <w:t>Colored</w:t>
            </w:r>
          </w:p>
        </w:tc>
        <w:tc>
          <w:tcPr>
            <w:tcW w:w="960" w:type="dxa"/>
            <w:shd w:val="clear" w:color="auto" w:fill="F2F2F2"/>
            <w:noWrap/>
            <w:vAlign w:val="center"/>
          </w:tcPr>
          <w:p w:rsidR="006357C5" w:rsidRPr="00DC71B4" w:rsidRDefault="006357C5" w:rsidP="002554CF">
            <w:pPr>
              <w:rPr>
                <w:b/>
                <w:bCs/>
                <w:color w:val="000000"/>
              </w:rPr>
            </w:pPr>
            <w:r w:rsidRPr="00DC71B4">
              <w:rPr>
                <w:b/>
                <w:bCs/>
                <w:color w:val="000000"/>
              </w:rPr>
              <w:t>Indian</w:t>
            </w:r>
          </w:p>
        </w:tc>
        <w:tc>
          <w:tcPr>
            <w:tcW w:w="960" w:type="dxa"/>
            <w:shd w:val="clear" w:color="auto" w:fill="F2F2F2"/>
            <w:noWrap/>
            <w:vAlign w:val="center"/>
          </w:tcPr>
          <w:p w:rsidR="006357C5" w:rsidRPr="00DC71B4" w:rsidRDefault="006357C5" w:rsidP="002554CF">
            <w:pPr>
              <w:rPr>
                <w:b/>
                <w:bCs/>
                <w:color w:val="000000"/>
              </w:rPr>
            </w:pPr>
            <w:r w:rsidRPr="00DC71B4">
              <w:rPr>
                <w:b/>
                <w:bCs/>
                <w:color w:val="000000"/>
              </w:rPr>
              <w:t>White</w:t>
            </w:r>
          </w:p>
        </w:tc>
        <w:tc>
          <w:tcPr>
            <w:tcW w:w="1012" w:type="dxa"/>
            <w:shd w:val="clear" w:color="auto" w:fill="F2F2F2"/>
            <w:noWrap/>
            <w:vAlign w:val="center"/>
          </w:tcPr>
          <w:p w:rsidR="006357C5" w:rsidRPr="00DC71B4" w:rsidRDefault="006357C5" w:rsidP="002554CF">
            <w:pPr>
              <w:rPr>
                <w:b/>
                <w:bCs/>
                <w:color w:val="000000"/>
              </w:rPr>
            </w:pPr>
            <w:r w:rsidRPr="00DC71B4">
              <w:rPr>
                <w:b/>
                <w:bCs/>
                <w:color w:val="000000"/>
              </w:rPr>
              <w:t>Total</w:t>
            </w:r>
          </w:p>
        </w:tc>
        <w:tc>
          <w:tcPr>
            <w:tcW w:w="960" w:type="dxa"/>
            <w:shd w:val="clear" w:color="auto" w:fill="F2F2F2"/>
            <w:noWrap/>
            <w:vAlign w:val="center"/>
          </w:tcPr>
          <w:p w:rsidR="006357C5" w:rsidRPr="00DC71B4" w:rsidRDefault="006357C5" w:rsidP="002554CF">
            <w:pPr>
              <w:rPr>
                <w:b/>
                <w:bCs/>
                <w:color w:val="000000"/>
              </w:rPr>
            </w:pPr>
            <w:r w:rsidRPr="00DC71B4">
              <w:rPr>
                <w:b/>
                <w:bCs/>
                <w:color w:val="000000"/>
              </w:rPr>
              <w:t>% of Total</w:t>
            </w:r>
          </w:p>
        </w:tc>
      </w:tr>
      <w:tr w:rsidR="006357C5" w:rsidRPr="00DC71B4" w:rsidTr="002554CF">
        <w:trPr>
          <w:trHeight w:val="300"/>
          <w:jc w:val="center"/>
        </w:trPr>
        <w:tc>
          <w:tcPr>
            <w:tcW w:w="3105" w:type="dxa"/>
            <w:noWrap/>
            <w:vAlign w:val="center"/>
          </w:tcPr>
          <w:p w:rsidR="006357C5" w:rsidRPr="00DC71B4" w:rsidRDefault="006357C5" w:rsidP="002554CF">
            <w:pPr>
              <w:rPr>
                <w:b/>
                <w:bCs/>
                <w:color w:val="000000"/>
              </w:rPr>
            </w:pPr>
            <w:r w:rsidRPr="00DC71B4">
              <w:rPr>
                <w:bCs/>
                <w:color w:val="000000"/>
              </w:rPr>
              <w:t>Universities of Technology</w:t>
            </w:r>
          </w:p>
        </w:tc>
        <w:tc>
          <w:tcPr>
            <w:tcW w:w="1012" w:type="dxa"/>
            <w:noWrap/>
            <w:vAlign w:val="center"/>
          </w:tcPr>
          <w:p w:rsidR="006357C5" w:rsidRPr="00DC71B4" w:rsidRDefault="006357C5" w:rsidP="002554CF">
            <w:pPr>
              <w:rPr>
                <w:color w:val="000000"/>
              </w:rPr>
            </w:pPr>
            <w:r w:rsidRPr="00DC71B4">
              <w:rPr>
                <w:color w:val="000000"/>
              </w:rPr>
              <w:t>107,581</w:t>
            </w:r>
          </w:p>
        </w:tc>
        <w:tc>
          <w:tcPr>
            <w:tcW w:w="1049" w:type="dxa"/>
            <w:noWrap/>
            <w:vAlign w:val="center"/>
          </w:tcPr>
          <w:p w:rsidR="006357C5" w:rsidRPr="00DC71B4" w:rsidRDefault="006357C5" w:rsidP="002554CF">
            <w:pPr>
              <w:rPr>
                <w:color w:val="000000"/>
              </w:rPr>
            </w:pPr>
            <w:r w:rsidRPr="00DC71B4">
              <w:rPr>
                <w:color w:val="000000"/>
              </w:rPr>
              <w:t>11,004</w:t>
            </w:r>
          </w:p>
        </w:tc>
        <w:tc>
          <w:tcPr>
            <w:tcW w:w="960" w:type="dxa"/>
            <w:noWrap/>
            <w:vAlign w:val="center"/>
          </w:tcPr>
          <w:p w:rsidR="006357C5" w:rsidRPr="00DC71B4" w:rsidRDefault="006357C5" w:rsidP="002554CF">
            <w:pPr>
              <w:rPr>
                <w:color w:val="000000"/>
              </w:rPr>
            </w:pPr>
            <w:r w:rsidRPr="00DC71B4">
              <w:rPr>
                <w:color w:val="000000"/>
              </w:rPr>
              <w:t>5,065</w:t>
            </w:r>
          </w:p>
        </w:tc>
        <w:tc>
          <w:tcPr>
            <w:tcW w:w="960" w:type="dxa"/>
            <w:noWrap/>
            <w:vAlign w:val="center"/>
          </w:tcPr>
          <w:p w:rsidR="006357C5" w:rsidRPr="00DC71B4" w:rsidRDefault="006357C5" w:rsidP="002554CF">
            <w:pPr>
              <w:rPr>
                <w:color w:val="000000"/>
              </w:rPr>
            </w:pPr>
            <w:r w:rsidRPr="00DC71B4">
              <w:rPr>
                <w:color w:val="000000"/>
              </w:rPr>
              <w:t>15,188</w:t>
            </w:r>
          </w:p>
        </w:tc>
        <w:tc>
          <w:tcPr>
            <w:tcW w:w="1012" w:type="dxa"/>
            <w:noWrap/>
            <w:vAlign w:val="center"/>
          </w:tcPr>
          <w:p w:rsidR="006357C5" w:rsidRPr="00DC71B4" w:rsidRDefault="006357C5" w:rsidP="002554CF">
            <w:pPr>
              <w:rPr>
                <w:color w:val="000000"/>
              </w:rPr>
            </w:pPr>
            <w:r w:rsidRPr="00DC71B4">
              <w:rPr>
                <w:color w:val="000000"/>
              </w:rPr>
              <w:t>138,912</w:t>
            </w:r>
          </w:p>
        </w:tc>
        <w:tc>
          <w:tcPr>
            <w:tcW w:w="960" w:type="dxa"/>
            <w:noWrap/>
            <w:vAlign w:val="center"/>
          </w:tcPr>
          <w:p w:rsidR="006357C5" w:rsidRPr="00DC71B4" w:rsidRDefault="006357C5" w:rsidP="002554CF">
            <w:pPr>
              <w:rPr>
                <w:color w:val="000000"/>
              </w:rPr>
            </w:pPr>
            <w:r w:rsidRPr="00DC71B4">
              <w:rPr>
                <w:color w:val="000000"/>
              </w:rPr>
              <w:t>18.3%</w:t>
            </w:r>
          </w:p>
        </w:tc>
      </w:tr>
      <w:tr w:rsidR="006357C5" w:rsidRPr="00DC71B4" w:rsidTr="002554CF">
        <w:trPr>
          <w:trHeight w:val="300"/>
          <w:jc w:val="center"/>
        </w:trPr>
        <w:tc>
          <w:tcPr>
            <w:tcW w:w="3105" w:type="dxa"/>
            <w:noWrap/>
            <w:vAlign w:val="center"/>
          </w:tcPr>
          <w:p w:rsidR="006357C5" w:rsidRPr="00DC71B4" w:rsidRDefault="006357C5" w:rsidP="002554CF">
            <w:pPr>
              <w:rPr>
                <w:b/>
                <w:bCs/>
                <w:color w:val="000000"/>
              </w:rPr>
            </w:pPr>
            <w:r w:rsidRPr="00DC71B4">
              <w:rPr>
                <w:bCs/>
                <w:color w:val="000000"/>
              </w:rPr>
              <w:t>Comprehensive Universities</w:t>
            </w:r>
          </w:p>
        </w:tc>
        <w:tc>
          <w:tcPr>
            <w:tcW w:w="1012" w:type="dxa"/>
            <w:noWrap/>
            <w:vAlign w:val="center"/>
          </w:tcPr>
          <w:p w:rsidR="006357C5" w:rsidRPr="00DC71B4" w:rsidRDefault="006357C5" w:rsidP="002554CF">
            <w:pPr>
              <w:rPr>
                <w:color w:val="000000"/>
              </w:rPr>
            </w:pPr>
            <w:r w:rsidRPr="00DC71B4">
              <w:rPr>
                <w:color w:val="000000"/>
              </w:rPr>
              <w:t>233,214</w:t>
            </w:r>
          </w:p>
        </w:tc>
        <w:tc>
          <w:tcPr>
            <w:tcW w:w="1049" w:type="dxa"/>
            <w:noWrap/>
            <w:vAlign w:val="center"/>
          </w:tcPr>
          <w:p w:rsidR="006357C5" w:rsidRPr="00DC71B4" w:rsidRDefault="006357C5" w:rsidP="002554CF">
            <w:pPr>
              <w:rPr>
                <w:color w:val="000000"/>
              </w:rPr>
            </w:pPr>
            <w:r w:rsidRPr="00DC71B4">
              <w:rPr>
                <w:color w:val="000000"/>
              </w:rPr>
              <w:t>18,569</w:t>
            </w:r>
          </w:p>
        </w:tc>
        <w:tc>
          <w:tcPr>
            <w:tcW w:w="960" w:type="dxa"/>
            <w:noWrap/>
            <w:vAlign w:val="center"/>
          </w:tcPr>
          <w:p w:rsidR="006357C5" w:rsidRPr="00DC71B4" w:rsidRDefault="006357C5" w:rsidP="002554CF">
            <w:pPr>
              <w:rPr>
                <w:color w:val="000000"/>
              </w:rPr>
            </w:pPr>
            <w:r w:rsidRPr="00DC71B4">
              <w:rPr>
                <w:color w:val="000000"/>
              </w:rPr>
              <w:t>25,152</w:t>
            </w:r>
          </w:p>
        </w:tc>
        <w:tc>
          <w:tcPr>
            <w:tcW w:w="960" w:type="dxa"/>
            <w:noWrap/>
            <w:vAlign w:val="center"/>
          </w:tcPr>
          <w:p w:rsidR="006357C5" w:rsidRPr="00DC71B4" w:rsidRDefault="006357C5" w:rsidP="002554CF">
            <w:pPr>
              <w:rPr>
                <w:color w:val="000000"/>
              </w:rPr>
            </w:pPr>
            <w:r w:rsidRPr="00DC71B4">
              <w:rPr>
                <w:color w:val="000000"/>
              </w:rPr>
              <w:t>73,314</w:t>
            </w:r>
          </w:p>
        </w:tc>
        <w:tc>
          <w:tcPr>
            <w:tcW w:w="1012" w:type="dxa"/>
            <w:noWrap/>
            <w:vAlign w:val="center"/>
          </w:tcPr>
          <w:p w:rsidR="006357C5" w:rsidRPr="00DC71B4" w:rsidRDefault="006357C5" w:rsidP="002554CF">
            <w:pPr>
              <w:rPr>
                <w:color w:val="000000"/>
              </w:rPr>
            </w:pPr>
            <w:r w:rsidRPr="00DC71B4">
              <w:rPr>
                <w:color w:val="000000"/>
              </w:rPr>
              <w:t>350,624</w:t>
            </w:r>
          </w:p>
        </w:tc>
        <w:tc>
          <w:tcPr>
            <w:tcW w:w="960" w:type="dxa"/>
            <w:noWrap/>
            <w:vAlign w:val="center"/>
          </w:tcPr>
          <w:p w:rsidR="006357C5" w:rsidRPr="00DC71B4" w:rsidRDefault="006357C5" w:rsidP="002554CF">
            <w:pPr>
              <w:rPr>
                <w:color w:val="000000"/>
              </w:rPr>
            </w:pPr>
            <w:r w:rsidRPr="00DC71B4">
              <w:rPr>
                <w:color w:val="000000"/>
              </w:rPr>
              <w:t>46.1%</w:t>
            </w:r>
          </w:p>
        </w:tc>
      </w:tr>
      <w:tr w:rsidR="006357C5" w:rsidRPr="00DC71B4" w:rsidTr="002554CF">
        <w:trPr>
          <w:trHeight w:val="300"/>
          <w:jc w:val="center"/>
        </w:trPr>
        <w:tc>
          <w:tcPr>
            <w:tcW w:w="3105" w:type="dxa"/>
            <w:noWrap/>
            <w:vAlign w:val="center"/>
          </w:tcPr>
          <w:p w:rsidR="006357C5" w:rsidRPr="00DC71B4" w:rsidRDefault="006357C5" w:rsidP="002554CF">
            <w:pPr>
              <w:rPr>
                <w:b/>
                <w:bCs/>
                <w:color w:val="000000"/>
              </w:rPr>
            </w:pPr>
            <w:r w:rsidRPr="00DC71B4">
              <w:rPr>
                <w:bCs/>
                <w:color w:val="000000"/>
              </w:rPr>
              <w:t>Traditional Universities</w:t>
            </w:r>
          </w:p>
        </w:tc>
        <w:tc>
          <w:tcPr>
            <w:tcW w:w="1012" w:type="dxa"/>
            <w:noWrap/>
            <w:vAlign w:val="center"/>
          </w:tcPr>
          <w:p w:rsidR="006357C5" w:rsidRPr="00DC71B4" w:rsidRDefault="006357C5" w:rsidP="002554CF">
            <w:pPr>
              <w:rPr>
                <w:color w:val="000000"/>
              </w:rPr>
            </w:pPr>
            <w:r w:rsidRPr="00DC71B4">
              <w:rPr>
                <w:color w:val="000000"/>
              </w:rPr>
              <w:t>135,973</w:t>
            </w:r>
          </w:p>
        </w:tc>
        <w:tc>
          <w:tcPr>
            <w:tcW w:w="1049" w:type="dxa"/>
            <w:noWrap/>
            <w:vAlign w:val="center"/>
          </w:tcPr>
          <w:p w:rsidR="006357C5" w:rsidRPr="00DC71B4" w:rsidRDefault="006357C5" w:rsidP="002554CF">
            <w:pPr>
              <w:rPr>
                <w:color w:val="000000"/>
              </w:rPr>
            </w:pPr>
            <w:r w:rsidRPr="00DC71B4">
              <w:rPr>
                <w:color w:val="000000"/>
              </w:rPr>
              <w:t>19,496</w:t>
            </w:r>
          </w:p>
        </w:tc>
        <w:tc>
          <w:tcPr>
            <w:tcW w:w="960" w:type="dxa"/>
            <w:noWrap/>
            <w:vAlign w:val="center"/>
          </w:tcPr>
          <w:p w:rsidR="006357C5" w:rsidRPr="00DC71B4" w:rsidRDefault="006357C5" w:rsidP="002554CF">
            <w:pPr>
              <w:rPr>
                <w:color w:val="000000"/>
              </w:rPr>
            </w:pPr>
            <w:r w:rsidRPr="00DC71B4">
              <w:rPr>
                <w:color w:val="000000"/>
              </w:rPr>
              <w:t>22,379</w:t>
            </w:r>
          </w:p>
        </w:tc>
        <w:tc>
          <w:tcPr>
            <w:tcW w:w="960" w:type="dxa"/>
            <w:noWrap/>
            <w:vAlign w:val="center"/>
          </w:tcPr>
          <w:p w:rsidR="006357C5" w:rsidRPr="00DC71B4" w:rsidRDefault="006357C5" w:rsidP="002554CF">
            <w:pPr>
              <w:rPr>
                <w:color w:val="000000"/>
              </w:rPr>
            </w:pPr>
            <w:r w:rsidRPr="00DC71B4">
              <w:rPr>
                <w:color w:val="000000"/>
              </w:rPr>
              <w:t>91,961</w:t>
            </w:r>
          </w:p>
        </w:tc>
        <w:tc>
          <w:tcPr>
            <w:tcW w:w="1012" w:type="dxa"/>
            <w:noWrap/>
            <w:vAlign w:val="center"/>
          </w:tcPr>
          <w:p w:rsidR="006357C5" w:rsidRPr="00DC71B4" w:rsidRDefault="006357C5" w:rsidP="002554CF">
            <w:pPr>
              <w:rPr>
                <w:color w:val="000000"/>
              </w:rPr>
            </w:pPr>
            <w:r w:rsidRPr="00DC71B4">
              <w:rPr>
                <w:color w:val="000000"/>
              </w:rPr>
              <w:t>271,554</w:t>
            </w:r>
          </w:p>
        </w:tc>
        <w:tc>
          <w:tcPr>
            <w:tcW w:w="960" w:type="dxa"/>
            <w:noWrap/>
            <w:vAlign w:val="center"/>
          </w:tcPr>
          <w:p w:rsidR="006357C5" w:rsidRPr="00DC71B4" w:rsidRDefault="006357C5" w:rsidP="002554CF">
            <w:pPr>
              <w:rPr>
                <w:color w:val="000000"/>
              </w:rPr>
            </w:pPr>
            <w:r w:rsidRPr="00DC71B4">
              <w:rPr>
                <w:color w:val="000000"/>
              </w:rPr>
              <w:t>35.7%</w:t>
            </w:r>
          </w:p>
        </w:tc>
      </w:tr>
      <w:tr w:rsidR="006357C5" w:rsidRPr="00DC71B4" w:rsidTr="002554CF">
        <w:trPr>
          <w:trHeight w:val="300"/>
          <w:jc w:val="center"/>
        </w:trPr>
        <w:tc>
          <w:tcPr>
            <w:tcW w:w="3105" w:type="dxa"/>
            <w:noWrap/>
            <w:vAlign w:val="center"/>
          </w:tcPr>
          <w:p w:rsidR="006357C5" w:rsidRPr="00DC71B4" w:rsidRDefault="006357C5" w:rsidP="002554CF">
            <w:pPr>
              <w:jc w:val="center"/>
              <w:rPr>
                <w:b/>
                <w:bCs/>
                <w:color w:val="000000"/>
              </w:rPr>
            </w:pPr>
          </w:p>
        </w:tc>
        <w:tc>
          <w:tcPr>
            <w:tcW w:w="1012" w:type="dxa"/>
            <w:noWrap/>
            <w:vAlign w:val="center"/>
          </w:tcPr>
          <w:p w:rsidR="006357C5" w:rsidRPr="00DC71B4" w:rsidRDefault="006357C5" w:rsidP="002554CF">
            <w:pPr>
              <w:jc w:val="center"/>
              <w:rPr>
                <w:color w:val="000000"/>
              </w:rPr>
            </w:pPr>
          </w:p>
        </w:tc>
        <w:tc>
          <w:tcPr>
            <w:tcW w:w="1049" w:type="dxa"/>
            <w:noWrap/>
            <w:vAlign w:val="center"/>
          </w:tcPr>
          <w:p w:rsidR="006357C5" w:rsidRPr="00DC71B4" w:rsidRDefault="006357C5" w:rsidP="002554CF">
            <w:pPr>
              <w:jc w:val="center"/>
              <w:rPr>
                <w:color w:val="000000"/>
              </w:rPr>
            </w:pPr>
          </w:p>
        </w:tc>
        <w:tc>
          <w:tcPr>
            <w:tcW w:w="960" w:type="dxa"/>
            <w:noWrap/>
            <w:vAlign w:val="center"/>
          </w:tcPr>
          <w:p w:rsidR="006357C5" w:rsidRPr="00DC71B4" w:rsidRDefault="006357C5" w:rsidP="002554CF">
            <w:pPr>
              <w:jc w:val="center"/>
              <w:rPr>
                <w:color w:val="000000"/>
              </w:rPr>
            </w:pPr>
          </w:p>
        </w:tc>
        <w:tc>
          <w:tcPr>
            <w:tcW w:w="960" w:type="dxa"/>
            <w:noWrap/>
            <w:vAlign w:val="center"/>
          </w:tcPr>
          <w:p w:rsidR="006357C5" w:rsidRPr="00DC71B4" w:rsidRDefault="006357C5" w:rsidP="002554CF">
            <w:pPr>
              <w:rPr>
                <w:b/>
                <w:bCs/>
                <w:color w:val="000000"/>
              </w:rPr>
            </w:pPr>
            <w:r w:rsidRPr="00DC71B4">
              <w:rPr>
                <w:b/>
                <w:bCs/>
                <w:color w:val="000000"/>
              </w:rPr>
              <w:t>TOTAL</w:t>
            </w:r>
          </w:p>
        </w:tc>
        <w:tc>
          <w:tcPr>
            <w:tcW w:w="1012" w:type="dxa"/>
            <w:noWrap/>
            <w:vAlign w:val="center"/>
          </w:tcPr>
          <w:p w:rsidR="006357C5" w:rsidRPr="00DC71B4" w:rsidRDefault="006357C5" w:rsidP="002554CF">
            <w:pPr>
              <w:rPr>
                <w:b/>
                <w:bCs/>
                <w:color w:val="000000"/>
              </w:rPr>
            </w:pPr>
            <w:r w:rsidRPr="00DC71B4">
              <w:rPr>
                <w:b/>
                <w:bCs/>
                <w:color w:val="000000"/>
              </w:rPr>
              <w:t>761,090</w:t>
            </w:r>
          </w:p>
        </w:tc>
        <w:tc>
          <w:tcPr>
            <w:tcW w:w="960" w:type="dxa"/>
            <w:noWrap/>
            <w:vAlign w:val="center"/>
          </w:tcPr>
          <w:p w:rsidR="006357C5" w:rsidRPr="00DC71B4" w:rsidRDefault="006357C5" w:rsidP="002554CF">
            <w:pPr>
              <w:rPr>
                <w:b/>
                <w:bCs/>
                <w:color w:val="000000"/>
              </w:rPr>
            </w:pPr>
            <w:r w:rsidRPr="00DC71B4">
              <w:rPr>
                <w:b/>
                <w:bCs/>
                <w:color w:val="000000"/>
              </w:rPr>
              <w:t>100%</w:t>
            </w:r>
          </w:p>
        </w:tc>
      </w:tr>
    </w:tbl>
    <w:p w:rsidR="006357C5" w:rsidRDefault="006357C5" w:rsidP="006357C5">
      <w:pPr>
        <w:pStyle w:val="NoSpacing"/>
        <w:spacing w:line="276" w:lineRule="auto"/>
        <w:rPr>
          <w:rFonts w:ascii="Arial" w:hAnsi="Arial" w:cs="Arial"/>
          <w:sz w:val="18"/>
          <w:szCs w:val="18"/>
        </w:rPr>
      </w:pPr>
      <w:r>
        <w:rPr>
          <w:rFonts w:ascii="Arial" w:hAnsi="Arial" w:cs="Arial"/>
          <w:sz w:val="20"/>
          <w:szCs w:val="20"/>
        </w:rPr>
        <w:t xml:space="preserve">  </w:t>
      </w:r>
      <w:r w:rsidRPr="00575059">
        <w:rPr>
          <w:rFonts w:ascii="Arial" w:hAnsi="Arial" w:cs="Arial"/>
          <w:sz w:val="18"/>
          <w:szCs w:val="18"/>
          <w:u w:val="single"/>
        </w:rPr>
        <w:t>Source:</w:t>
      </w:r>
      <w:r w:rsidRPr="00575059">
        <w:rPr>
          <w:rFonts w:ascii="Arial" w:hAnsi="Arial" w:cs="Arial"/>
          <w:sz w:val="18"/>
          <w:szCs w:val="18"/>
        </w:rPr>
        <w:t xml:space="preserve"> HEMIS data via www.ieasa.studysa.org</w:t>
      </w:r>
    </w:p>
    <w:p w:rsidR="006357C5" w:rsidRDefault="006357C5" w:rsidP="006357C5">
      <w:pPr>
        <w:pStyle w:val="NoSpacing"/>
        <w:spacing w:line="276" w:lineRule="auto"/>
        <w:rPr>
          <w:rFonts w:ascii="Arial" w:hAnsi="Arial" w:cs="Arial"/>
          <w:sz w:val="18"/>
          <w:szCs w:val="18"/>
        </w:rPr>
      </w:pPr>
    </w:p>
    <w:p w:rsidR="006357C5" w:rsidRDefault="006357C5" w:rsidP="006357C5">
      <w:pPr>
        <w:pStyle w:val="NoSpacing"/>
        <w:spacing w:line="276" w:lineRule="auto"/>
        <w:jc w:val="both"/>
        <w:rPr>
          <w:rFonts w:ascii="Arial" w:hAnsi="Arial" w:cs="Arial"/>
        </w:rPr>
      </w:pPr>
      <w:r w:rsidRPr="00DF0CD6">
        <w:rPr>
          <w:rFonts w:ascii="Arial" w:hAnsi="Arial" w:cs="Arial"/>
        </w:rPr>
        <w:t xml:space="preserve">South Africa additionally has about 100 private colleges that enroll slightly over 30,000 students. Private college enrollment is only a small fraction (3.8%) of university and college-going enrollment (IEASA 2011). </w:t>
      </w:r>
    </w:p>
    <w:p w:rsidR="006357C5" w:rsidRDefault="006357C5" w:rsidP="006357C5">
      <w:pPr>
        <w:pStyle w:val="NoSpacing"/>
        <w:spacing w:line="276" w:lineRule="auto"/>
        <w:jc w:val="both"/>
        <w:rPr>
          <w:rFonts w:ascii="Arial" w:hAnsi="Arial" w:cs="Arial"/>
        </w:rPr>
      </w:pPr>
    </w:p>
    <w:p w:rsidR="006357C5" w:rsidRDefault="006357C5" w:rsidP="006357C5">
      <w:pPr>
        <w:pStyle w:val="TableHeading"/>
      </w:pPr>
      <w:bookmarkStart w:id="129" w:name="_Toc328742922"/>
      <w:r w:rsidRPr="00DF0CD6">
        <w:t xml:space="preserve">Table </w:t>
      </w:r>
      <w:r>
        <w:t>76</w:t>
      </w:r>
      <w:r w:rsidRPr="00DF0CD6">
        <w:t>: Public versus private enrollment in TEIs, 2007</w:t>
      </w:r>
      <w:bookmarkEnd w:id="129"/>
    </w:p>
    <w:p w:rsidR="006357C5" w:rsidRPr="00DF0CD6" w:rsidRDefault="006357C5" w:rsidP="006357C5">
      <w:pPr>
        <w:pStyle w:val="TableHeading"/>
      </w:pPr>
    </w:p>
    <w:tbl>
      <w:tblPr>
        <w:tblW w:w="5490" w:type="dxa"/>
        <w:jc w:val="center"/>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2740"/>
        <w:gridCol w:w="1490"/>
        <w:gridCol w:w="1260"/>
      </w:tblGrid>
      <w:tr w:rsidR="006357C5" w:rsidRPr="00DC71B4" w:rsidTr="002554CF">
        <w:trPr>
          <w:trHeight w:val="300"/>
          <w:jc w:val="center"/>
        </w:trPr>
        <w:tc>
          <w:tcPr>
            <w:tcW w:w="2740" w:type="dxa"/>
            <w:noWrap/>
            <w:vAlign w:val="center"/>
          </w:tcPr>
          <w:p w:rsidR="006357C5" w:rsidRPr="00DC71B4" w:rsidRDefault="006357C5" w:rsidP="002554CF">
            <w:pPr>
              <w:rPr>
                <w:b/>
                <w:bCs/>
                <w:color w:val="000000"/>
              </w:rPr>
            </w:pPr>
            <w:r w:rsidRPr="00DC71B4">
              <w:rPr>
                <w:b/>
                <w:bCs/>
                <w:color w:val="000000"/>
              </w:rPr>
              <w:t>Type of Institution</w:t>
            </w:r>
          </w:p>
        </w:tc>
        <w:tc>
          <w:tcPr>
            <w:tcW w:w="1490" w:type="dxa"/>
            <w:noWrap/>
            <w:vAlign w:val="center"/>
          </w:tcPr>
          <w:p w:rsidR="006357C5" w:rsidRPr="00DC71B4" w:rsidRDefault="006357C5" w:rsidP="002554CF">
            <w:pPr>
              <w:rPr>
                <w:b/>
                <w:bCs/>
                <w:color w:val="000000"/>
              </w:rPr>
            </w:pPr>
            <w:r w:rsidRPr="00DC71B4">
              <w:rPr>
                <w:b/>
                <w:bCs/>
                <w:color w:val="000000"/>
              </w:rPr>
              <w:t># of Students</w:t>
            </w:r>
          </w:p>
        </w:tc>
        <w:tc>
          <w:tcPr>
            <w:tcW w:w="1260" w:type="dxa"/>
            <w:noWrap/>
            <w:vAlign w:val="center"/>
          </w:tcPr>
          <w:p w:rsidR="006357C5" w:rsidRPr="00DC71B4" w:rsidRDefault="006357C5" w:rsidP="002554CF">
            <w:pPr>
              <w:rPr>
                <w:b/>
                <w:bCs/>
                <w:color w:val="000000"/>
              </w:rPr>
            </w:pPr>
            <w:r w:rsidRPr="00DC71B4">
              <w:rPr>
                <w:b/>
                <w:bCs/>
                <w:color w:val="000000"/>
              </w:rPr>
              <w:t>% of Total</w:t>
            </w:r>
          </w:p>
        </w:tc>
      </w:tr>
      <w:tr w:rsidR="006357C5" w:rsidRPr="00DC71B4" w:rsidTr="002554CF">
        <w:trPr>
          <w:trHeight w:val="300"/>
          <w:jc w:val="center"/>
        </w:trPr>
        <w:tc>
          <w:tcPr>
            <w:tcW w:w="2740" w:type="dxa"/>
            <w:noWrap/>
            <w:vAlign w:val="center"/>
          </w:tcPr>
          <w:p w:rsidR="006357C5" w:rsidRPr="00DC71B4" w:rsidRDefault="006357C5" w:rsidP="002554CF">
            <w:pPr>
              <w:rPr>
                <w:b/>
                <w:bCs/>
                <w:color w:val="000000"/>
              </w:rPr>
            </w:pPr>
            <w:r w:rsidRPr="00DC71B4">
              <w:rPr>
                <w:b/>
                <w:bCs/>
                <w:color w:val="000000"/>
              </w:rPr>
              <w:t>Public Universities</w:t>
            </w:r>
          </w:p>
        </w:tc>
        <w:tc>
          <w:tcPr>
            <w:tcW w:w="1490" w:type="dxa"/>
            <w:noWrap/>
            <w:vAlign w:val="center"/>
          </w:tcPr>
          <w:p w:rsidR="006357C5" w:rsidRPr="00DC71B4" w:rsidRDefault="006357C5" w:rsidP="002554CF">
            <w:pPr>
              <w:rPr>
                <w:color w:val="000000"/>
              </w:rPr>
            </w:pPr>
            <w:r w:rsidRPr="00DC71B4">
              <w:rPr>
                <w:color w:val="000000"/>
              </w:rPr>
              <w:t>761,090</w:t>
            </w:r>
          </w:p>
        </w:tc>
        <w:tc>
          <w:tcPr>
            <w:tcW w:w="1260" w:type="dxa"/>
            <w:noWrap/>
            <w:vAlign w:val="center"/>
          </w:tcPr>
          <w:p w:rsidR="006357C5" w:rsidRPr="00DC71B4" w:rsidRDefault="006357C5" w:rsidP="002554CF">
            <w:pPr>
              <w:rPr>
                <w:color w:val="000000"/>
              </w:rPr>
            </w:pPr>
            <w:r w:rsidRPr="00DC71B4">
              <w:rPr>
                <w:color w:val="000000"/>
              </w:rPr>
              <w:t>96.2%</w:t>
            </w:r>
          </w:p>
        </w:tc>
      </w:tr>
      <w:tr w:rsidR="006357C5" w:rsidRPr="00DC71B4" w:rsidTr="002554CF">
        <w:trPr>
          <w:trHeight w:val="300"/>
          <w:jc w:val="center"/>
        </w:trPr>
        <w:tc>
          <w:tcPr>
            <w:tcW w:w="2740" w:type="dxa"/>
            <w:noWrap/>
            <w:vAlign w:val="center"/>
          </w:tcPr>
          <w:p w:rsidR="006357C5" w:rsidRPr="00DC71B4" w:rsidRDefault="006357C5" w:rsidP="002554CF">
            <w:pPr>
              <w:rPr>
                <w:b/>
                <w:bCs/>
                <w:color w:val="000000"/>
              </w:rPr>
            </w:pPr>
            <w:r w:rsidRPr="00DC71B4">
              <w:rPr>
                <w:b/>
                <w:bCs/>
                <w:color w:val="000000"/>
              </w:rPr>
              <w:t>Private Universities</w:t>
            </w:r>
          </w:p>
        </w:tc>
        <w:tc>
          <w:tcPr>
            <w:tcW w:w="1490" w:type="dxa"/>
            <w:noWrap/>
            <w:vAlign w:val="center"/>
          </w:tcPr>
          <w:p w:rsidR="006357C5" w:rsidRPr="00DC71B4" w:rsidRDefault="006357C5" w:rsidP="002554CF">
            <w:pPr>
              <w:rPr>
                <w:color w:val="000000"/>
              </w:rPr>
            </w:pPr>
            <w:r w:rsidRPr="00DC71B4">
              <w:rPr>
                <w:color w:val="000000"/>
              </w:rPr>
              <w:t>(est.) 30,000</w:t>
            </w:r>
          </w:p>
        </w:tc>
        <w:tc>
          <w:tcPr>
            <w:tcW w:w="1260" w:type="dxa"/>
            <w:noWrap/>
            <w:vAlign w:val="center"/>
          </w:tcPr>
          <w:p w:rsidR="006357C5" w:rsidRPr="00DC71B4" w:rsidRDefault="006357C5" w:rsidP="002554CF">
            <w:pPr>
              <w:rPr>
                <w:color w:val="000000"/>
              </w:rPr>
            </w:pPr>
            <w:r w:rsidRPr="00DC71B4">
              <w:rPr>
                <w:color w:val="000000"/>
              </w:rPr>
              <w:t>3.8%</w:t>
            </w:r>
          </w:p>
        </w:tc>
      </w:tr>
      <w:tr w:rsidR="006357C5" w:rsidRPr="00DC71B4" w:rsidTr="002554CF">
        <w:trPr>
          <w:trHeight w:val="300"/>
          <w:jc w:val="center"/>
        </w:trPr>
        <w:tc>
          <w:tcPr>
            <w:tcW w:w="2740" w:type="dxa"/>
            <w:noWrap/>
            <w:vAlign w:val="center"/>
          </w:tcPr>
          <w:p w:rsidR="006357C5" w:rsidRPr="00DC71B4" w:rsidRDefault="006357C5" w:rsidP="002554CF">
            <w:pPr>
              <w:rPr>
                <w:b/>
                <w:bCs/>
                <w:color w:val="000000"/>
              </w:rPr>
            </w:pPr>
            <w:r w:rsidRPr="00DC71B4">
              <w:rPr>
                <w:b/>
                <w:bCs/>
                <w:color w:val="000000"/>
              </w:rPr>
              <w:t>TOTAL</w:t>
            </w:r>
          </w:p>
        </w:tc>
        <w:tc>
          <w:tcPr>
            <w:tcW w:w="1490" w:type="dxa"/>
            <w:noWrap/>
            <w:vAlign w:val="center"/>
          </w:tcPr>
          <w:p w:rsidR="006357C5" w:rsidRPr="00DC71B4" w:rsidRDefault="006357C5" w:rsidP="002554CF">
            <w:pPr>
              <w:rPr>
                <w:b/>
                <w:bCs/>
                <w:color w:val="000000"/>
              </w:rPr>
            </w:pPr>
            <w:r w:rsidRPr="00DC71B4">
              <w:rPr>
                <w:b/>
                <w:bCs/>
                <w:color w:val="000000"/>
              </w:rPr>
              <w:t>791,090</w:t>
            </w:r>
          </w:p>
        </w:tc>
        <w:tc>
          <w:tcPr>
            <w:tcW w:w="1260" w:type="dxa"/>
            <w:noWrap/>
            <w:vAlign w:val="center"/>
          </w:tcPr>
          <w:p w:rsidR="006357C5" w:rsidRPr="00DC71B4" w:rsidRDefault="006357C5" w:rsidP="002554CF">
            <w:pPr>
              <w:rPr>
                <w:b/>
                <w:bCs/>
                <w:color w:val="000000"/>
              </w:rPr>
            </w:pPr>
            <w:r w:rsidRPr="00DC71B4">
              <w:rPr>
                <w:b/>
                <w:bCs/>
                <w:color w:val="000000"/>
              </w:rPr>
              <w:t>100.0%</w:t>
            </w:r>
          </w:p>
        </w:tc>
      </w:tr>
    </w:tbl>
    <w:p w:rsidR="006357C5" w:rsidRDefault="006357C5" w:rsidP="006357C5">
      <w:pPr>
        <w:pStyle w:val="NoSpacing"/>
        <w:spacing w:line="276" w:lineRule="auto"/>
        <w:ind w:left="720" w:firstLine="720"/>
        <w:rPr>
          <w:rFonts w:ascii="Arial" w:hAnsi="Arial" w:cs="Arial"/>
          <w:sz w:val="18"/>
          <w:szCs w:val="18"/>
        </w:rPr>
      </w:pPr>
      <w:r>
        <w:rPr>
          <w:rFonts w:ascii="Arial" w:hAnsi="Arial" w:cs="Arial"/>
        </w:rPr>
        <w:t xml:space="preserve">        </w:t>
      </w:r>
      <w:r w:rsidRPr="00575059">
        <w:rPr>
          <w:rFonts w:ascii="Arial" w:hAnsi="Arial" w:cs="Arial"/>
          <w:sz w:val="18"/>
          <w:szCs w:val="18"/>
          <w:u w:val="single"/>
        </w:rPr>
        <w:t>Source:</w:t>
      </w:r>
      <w:r w:rsidRPr="00575059">
        <w:rPr>
          <w:rFonts w:ascii="Arial" w:hAnsi="Arial" w:cs="Arial"/>
          <w:sz w:val="18"/>
          <w:szCs w:val="18"/>
        </w:rPr>
        <w:t xml:space="preserve"> HEMIS data via www.ieasa.studysa.org</w:t>
      </w:r>
    </w:p>
    <w:p w:rsidR="006357C5" w:rsidRDefault="006357C5" w:rsidP="006357C5">
      <w:pPr>
        <w:pStyle w:val="NoSpacing"/>
        <w:spacing w:line="276" w:lineRule="auto"/>
        <w:ind w:left="720" w:firstLine="720"/>
        <w:rPr>
          <w:rFonts w:ascii="Arial" w:hAnsi="Arial" w:cs="Arial"/>
          <w:sz w:val="18"/>
          <w:szCs w:val="18"/>
        </w:rPr>
      </w:pPr>
    </w:p>
    <w:p w:rsidR="006357C5" w:rsidRPr="00DF0CD6" w:rsidRDefault="006357C5" w:rsidP="006357C5">
      <w:pPr>
        <w:pStyle w:val="NoSpacing"/>
        <w:spacing w:line="276" w:lineRule="auto"/>
        <w:jc w:val="both"/>
        <w:rPr>
          <w:rFonts w:ascii="Arial" w:hAnsi="Arial" w:cs="Arial"/>
        </w:rPr>
      </w:pPr>
      <w:r w:rsidRPr="00DF0CD6">
        <w:rPr>
          <w:rFonts w:ascii="Arial" w:hAnsi="Arial" w:cs="Arial"/>
        </w:rPr>
        <w:t>Tuition data from randomly selected South African universities show that fees range anywhere from R18,300 to R47,000 ($2,480 to $6,369) a year, depending on the university and the student’s course of study.</w:t>
      </w:r>
      <w:r w:rsidRPr="00DF0CD6">
        <w:rPr>
          <w:rStyle w:val="FootnoteReference"/>
          <w:rFonts w:ascii="Arial" w:hAnsi="Arial" w:cs="Arial"/>
        </w:rPr>
        <w:footnoteReference w:id="45"/>
      </w:r>
      <w:r w:rsidRPr="00DF0CD6">
        <w:rPr>
          <w:rFonts w:ascii="Arial" w:hAnsi="Arial" w:cs="Arial"/>
        </w:rPr>
        <w:t xml:space="preserve"> The variability in numbers suggests that universities are free to set their own tuition rates.</w:t>
      </w:r>
    </w:p>
    <w:p w:rsidR="006357C5" w:rsidRPr="00DF0CD6" w:rsidRDefault="006357C5" w:rsidP="006357C5">
      <w:pPr>
        <w:pStyle w:val="NoSpacing"/>
        <w:spacing w:line="276" w:lineRule="auto"/>
        <w:jc w:val="both"/>
        <w:rPr>
          <w:rFonts w:ascii="Arial" w:hAnsi="Arial" w:cs="Arial"/>
        </w:rPr>
      </w:pPr>
    </w:p>
    <w:p w:rsidR="006357C5" w:rsidRDefault="006357C5" w:rsidP="006357C5">
      <w:pPr>
        <w:pStyle w:val="NoSpacing"/>
        <w:spacing w:line="276" w:lineRule="auto"/>
        <w:jc w:val="both"/>
        <w:rPr>
          <w:rFonts w:ascii="Arial" w:hAnsi="Arial" w:cs="Arial"/>
        </w:rPr>
      </w:pPr>
      <w:r w:rsidRPr="00DF0CD6">
        <w:rPr>
          <w:rFonts w:ascii="Arial" w:hAnsi="Arial" w:cs="Arial"/>
        </w:rPr>
        <w:t>South Africa has a 16.4% university participation rate in its 20-24 age cohort (DHET 2011). Of those enrolled, 45% eventually drop out (IEASA 2011). The dropout rate may actually be higher than stated considering that the overall graduation rate for TEIs between 2004 and 2007 was only 16% (CHE 2009).</w:t>
      </w:r>
      <w:r w:rsidRPr="00DF0CD6">
        <w:rPr>
          <w:rStyle w:val="FootnoteReference"/>
          <w:rFonts w:ascii="Arial" w:hAnsi="Arial" w:cs="Arial"/>
        </w:rPr>
        <w:footnoteReference w:id="46"/>
      </w:r>
    </w:p>
    <w:p w:rsidR="006357C5" w:rsidRDefault="006357C5" w:rsidP="006357C5">
      <w:pPr>
        <w:pStyle w:val="NoSpacing"/>
        <w:spacing w:line="276" w:lineRule="auto"/>
        <w:jc w:val="both"/>
        <w:rPr>
          <w:rFonts w:ascii="Arial" w:hAnsi="Arial" w:cs="Arial"/>
        </w:rPr>
      </w:pPr>
    </w:p>
    <w:p w:rsidR="006357C5" w:rsidRPr="00DF0CD6" w:rsidRDefault="006357C5" w:rsidP="006357C5">
      <w:pPr>
        <w:pStyle w:val="NoSpacing"/>
        <w:spacing w:line="276" w:lineRule="auto"/>
        <w:jc w:val="both"/>
        <w:rPr>
          <w:rFonts w:ascii="Arial" w:hAnsi="Arial" w:cs="Arial"/>
        </w:rPr>
      </w:pPr>
    </w:p>
    <w:p w:rsidR="006357C5" w:rsidRPr="00034AC3" w:rsidRDefault="006357C5" w:rsidP="006357C5">
      <w:pPr>
        <w:rPr>
          <w:b/>
        </w:rPr>
      </w:pPr>
      <w:r w:rsidRPr="00034AC3">
        <w:rPr>
          <w:b/>
        </w:rPr>
        <w:t>Higher education financing</w:t>
      </w:r>
    </w:p>
    <w:p w:rsidR="006357C5" w:rsidRPr="00DF0CD6" w:rsidRDefault="006357C5" w:rsidP="006357C5"/>
    <w:p w:rsidR="006357C5" w:rsidRPr="00DF0CD6" w:rsidRDefault="006357C5" w:rsidP="006357C5">
      <w:pPr>
        <w:pStyle w:val="NoSpacing"/>
        <w:spacing w:line="276" w:lineRule="auto"/>
        <w:jc w:val="both"/>
        <w:rPr>
          <w:rFonts w:ascii="Arial" w:hAnsi="Arial" w:cs="Arial"/>
        </w:rPr>
      </w:pPr>
      <w:r w:rsidRPr="00DF0CD6">
        <w:rPr>
          <w:rFonts w:ascii="Arial" w:hAnsi="Arial" w:cs="Arial"/>
        </w:rPr>
        <w:t xml:space="preserve">South African universities rely heavily on government financing. As a recent </w:t>
      </w:r>
      <w:r>
        <w:rPr>
          <w:rFonts w:ascii="Arial" w:hAnsi="Arial" w:cs="Arial"/>
        </w:rPr>
        <w:t>UNESCO</w:t>
      </w:r>
      <w:r w:rsidRPr="00DF0CD6">
        <w:rPr>
          <w:rFonts w:ascii="Arial" w:hAnsi="Arial" w:cs="Arial"/>
        </w:rPr>
        <w:t xml:space="preserve"> report states, “higher education in South Africa is largely state funded with funds being allocated to the public institutions through the national Department of Education. The overall budget for higher education in 2007/8 was R13.3 billion, representing 0.65 % of GDP” (</w:t>
      </w:r>
      <w:r>
        <w:rPr>
          <w:rFonts w:ascii="Arial" w:hAnsi="Arial" w:cs="Arial"/>
        </w:rPr>
        <w:t>UNESCO</w:t>
      </w:r>
      <w:r w:rsidRPr="00DF0CD6">
        <w:rPr>
          <w:rFonts w:ascii="Arial" w:hAnsi="Arial" w:cs="Arial"/>
        </w:rPr>
        <w:t xml:space="preserve"> 2008).</w:t>
      </w:r>
    </w:p>
    <w:p w:rsidR="006357C5" w:rsidRPr="00DF0CD6" w:rsidRDefault="006357C5" w:rsidP="006357C5">
      <w:pPr>
        <w:pStyle w:val="NoSpacing"/>
        <w:spacing w:line="276" w:lineRule="auto"/>
        <w:jc w:val="both"/>
        <w:rPr>
          <w:rFonts w:ascii="Arial" w:hAnsi="Arial" w:cs="Arial"/>
        </w:rPr>
      </w:pPr>
    </w:p>
    <w:p w:rsidR="006357C5" w:rsidRPr="00DF0CD6" w:rsidRDefault="006357C5" w:rsidP="006357C5">
      <w:pPr>
        <w:pStyle w:val="NoSpacing"/>
        <w:spacing w:line="276" w:lineRule="auto"/>
        <w:jc w:val="both"/>
        <w:rPr>
          <w:rFonts w:ascii="Arial" w:hAnsi="Arial" w:cs="Arial"/>
          <w:vertAlign w:val="superscript"/>
        </w:rPr>
      </w:pPr>
      <w:r w:rsidRPr="00DF0CD6">
        <w:rPr>
          <w:rFonts w:ascii="Arial" w:hAnsi="Arial" w:cs="Arial"/>
        </w:rPr>
        <w:t>Government funds can be allocated directly to universities or indirectly in the form of student financial aid. The amount of direct funding a university receives depends on its performance according to quality indicators that include</w:t>
      </w:r>
      <w:r w:rsidRPr="00DF0CD6">
        <w:rPr>
          <w:rFonts w:ascii="Arial" w:hAnsi="Arial" w:cs="Arial"/>
          <w:vertAlign w:val="superscript"/>
        </w:rPr>
        <w:footnoteReference w:id="47"/>
      </w:r>
      <w:r w:rsidRPr="00DF0CD6">
        <w:rPr>
          <w:rFonts w:ascii="Arial" w:hAnsi="Arial" w:cs="Arial"/>
        </w:rPr>
        <w:t>:</w:t>
      </w:r>
      <w:r w:rsidRPr="00DF0CD6">
        <w:rPr>
          <w:rFonts w:ascii="Arial" w:hAnsi="Arial" w:cs="Arial"/>
          <w:vertAlign w:val="superscript"/>
        </w:rPr>
        <w:t xml:space="preserve"> </w:t>
      </w:r>
    </w:p>
    <w:p w:rsidR="006357C5" w:rsidRPr="00DF0CD6" w:rsidRDefault="006357C5" w:rsidP="006357C5">
      <w:pPr>
        <w:pStyle w:val="NoSpacing"/>
        <w:spacing w:line="276" w:lineRule="auto"/>
        <w:jc w:val="both"/>
        <w:rPr>
          <w:rFonts w:ascii="Arial" w:hAnsi="Arial" w:cs="Arial"/>
        </w:rPr>
      </w:pPr>
    </w:p>
    <w:p w:rsidR="006357C5" w:rsidRDefault="006357C5" w:rsidP="006357C5">
      <w:pPr>
        <w:pStyle w:val="NoSpacing"/>
        <w:numPr>
          <w:ilvl w:val="0"/>
          <w:numId w:val="20"/>
        </w:numPr>
        <w:spacing w:line="276" w:lineRule="auto"/>
        <w:jc w:val="both"/>
        <w:rPr>
          <w:rFonts w:ascii="Arial" w:hAnsi="Arial" w:cs="Arial"/>
        </w:rPr>
      </w:pPr>
      <w:r w:rsidRPr="00DF0CD6">
        <w:rPr>
          <w:rFonts w:ascii="Arial" w:hAnsi="Arial" w:cs="Arial"/>
        </w:rPr>
        <w:t>Research outputs (measured by number of graduate students and publication outputs)</w:t>
      </w:r>
    </w:p>
    <w:p w:rsidR="006357C5" w:rsidRDefault="006357C5" w:rsidP="006357C5">
      <w:pPr>
        <w:pStyle w:val="NoSpacing"/>
        <w:numPr>
          <w:ilvl w:val="0"/>
          <w:numId w:val="20"/>
        </w:numPr>
        <w:spacing w:line="276" w:lineRule="auto"/>
        <w:jc w:val="both"/>
        <w:rPr>
          <w:rFonts w:ascii="Arial" w:hAnsi="Arial" w:cs="Arial"/>
        </w:rPr>
      </w:pPr>
      <w:r w:rsidRPr="00DF0CD6">
        <w:rPr>
          <w:rFonts w:ascii="Arial" w:hAnsi="Arial" w:cs="Arial"/>
        </w:rPr>
        <w:t>Teaching outputs (measured by enrollment rates and graduation rates)</w:t>
      </w:r>
    </w:p>
    <w:p w:rsidR="006357C5" w:rsidRDefault="006357C5" w:rsidP="006357C5">
      <w:pPr>
        <w:pStyle w:val="NoSpacing"/>
        <w:numPr>
          <w:ilvl w:val="0"/>
          <w:numId w:val="20"/>
        </w:numPr>
        <w:spacing w:line="276" w:lineRule="auto"/>
        <w:jc w:val="both"/>
        <w:rPr>
          <w:rFonts w:ascii="Arial" w:hAnsi="Arial" w:cs="Arial"/>
        </w:rPr>
      </w:pPr>
      <w:r w:rsidRPr="00DF0CD6">
        <w:rPr>
          <w:rFonts w:ascii="Arial" w:hAnsi="Arial" w:cs="Arial"/>
        </w:rPr>
        <w:t xml:space="preserve">Institutional need (measured by enrollment size and percentage of disadvantaged students) </w:t>
      </w:r>
    </w:p>
    <w:p w:rsidR="006357C5" w:rsidRDefault="006357C5" w:rsidP="006357C5">
      <w:pPr>
        <w:pStyle w:val="NoSpacing"/>
        <w:spacing w:line="276" w:lineRule="auto"/>
        <w:ind w:left="720"/>
        <w:jc w:val="both"/>
        <w:rPr>
          <w:rFonts w:ascii="Arial" w:hAnsi="Arial" w:cs="Arial"/>
        </w:rPr>
      </w:pPr>
    </w:p>
    <w:p w:rsidR="006357C5" w:rsidRDefault="006357C5" w:rsidP="006357C5">
      <w:pPr>
        <w:pStyle w:val="NoSpacing"/>
        <w:spacing w:line="276" w:lineRule="auto"/>
        <w:jc w:val="both"/>
        <w:rPr>
          <w:rFonts w:ascii="Arial" w:hAnsi="Arial" w:cs="Arial"/>
        </w:rPr>
      </w:pPr>
      <w:r w:rsidRPr="00DF0CD6">
        <w:rPr>
          <w:rFonts w:ascii="Arial" w:hAnsi="Arial" w:cs="Arial"/>
        </w:rPr>
        <w:t>Similarly, the amount of indirect funding a TEI receives depends on financial indicators that include:</w:t>
      </w:r>
    </w:p>
    <w:p w:rsidR="006357C5" w:rsidRDefault="006357C5" w:rsidP="006357C5">
      <w:pPr>
        <w:pStyle w:val="NoSpacing"/>
        <w:spacing w:line="276" w:lineRule="auto"/>
        <w:jc w:val="both"/>
        <w:rPr>
          <w:rFonts w:ascii="Arial" w:hAnsi="Arial" w:cs="Arial"/>
        </w:rPr>
      </w:pPr>
    </w:p>
    <w:p w:rsidR="006357C5" w:rsidRDefault="006357C5" w:rsidP="006357C5">
      <w:pPr>
        <w:pStyle w:val="NoSpacing"/>
        <w:numPr>
          <w:ilvl w:val="0"/>
          <w:numId w:val="21"/>
        </w:numPr>
        <w:spacing w:line="276" w:lineRule="auto"/>
        <w:jc w:val="both"/>
        <w:rPr>
          <w:rFonts w:ascii="Arial" w:hAnsi="Arial" w:cs="Arial"/>
        </w:rPr>
      </w:pPr>
      <w:r w:rsidRPr="00DF0CD6">
        <w:rPr>
          <w:rFonts w:ascii="Arial" w:hAnsi="Arial" w:cs="Arial"/>
        </w:rPr>
        <w:t>The full cost of attending the TEI (calculated by adding the registration fee per student to the average cost of tuition and the average cost of residence meals/accommodation)</w:t>
      </w:r>
      <w:r w:rsidRPr="00DF0CD6">
        <w:rPr>
          <w:rFonts w:ascii="Arial" w:hAnsi="Arial" w:cs="Arial"/>
          <w:vertAlign w:val="superscript"/>
        </w:rPr>
        <w:footnoteReference w:id="48"/>
      </w:r>
    </w:p>
    <w:p w:rsidR="006357C5" w:rsidRDefault="006357C5" w:rsidP="006357C5">
      <w:pPr>
        <w:pStyle w:val="NoSpacing"/>
        <w:numPr>
          <w:ilvl w:val="0"/>
          <w:numId w:val="21"/>
        </w:numPr>
        <w:spacing w:line="276" w:lineRule="auto"/>
        <w:jc w:val="both"/>
        <w:rPr>
          <w:rFonts w:ascii="Arial" w:hAnsi="Arial" w:cs="Arial"/>
        </w:rPr>
      </w:pPr>
      <w:r w:rsidRPr="00DF0CD6">
        <w:rPr>
          <w:rFonts w:ascii="Arial" w:hAnsi="Arial" w:cs="Arial"/>
        </w:rPr>
        <w:t>The racial makeup of the TEI’s student population (with race serving as a proxy for socio-economic status, and funding increasing with the proportion of non-white students enrolled)</w:t>
      </w:r>
      <w:r w:rsidRPr="00DF0CD6">
        <w:rPr>
          <w:rStyle w:val="FootnoteReference"/>
          <w:rFonts w:ascii="Arial" w:hAnsi="Arial" w:cs="Arial"/>
        </w:rPr>
        <w:footnoteReference w:id="49"/>
      </w:r>
      <w:r w:rsidRPr="00DF0CD6">
        <w:rPr>
          <w:rFonts w:ascii="Arial" w:hAnsi="Arial" w:cs="Arial"/>
        </w:rPr>
        <w:t xml:space="preserve"> (Department of Higher Education and Training, South Africa [DHET 2011]).</w:t>
      </w:r>
    </w:p>
    <w:p w:rsidR="006357C5" w:rsidRDefault="006357C5" w:rsidP="006357C5">
      <w:pPr>
        <w:pStyle w:val="NoSpacing"/>
        <w:spacing w:line="276" w:lineRule="auto"/>
        <w:ind w:left="720"/>
        <w:jc w:val="both"/>
        <w:rPr>
          <w:rFonts w:ascii="Arial" w:hAnsi="Arial" w:cs="Arial"/>
        </w:rPr>
      </w:pPr>
    </w:p>
    <w:p w:rsidR="006357C5" w:rsidRDefault="006357C5" w:rsidP="006357C5">
      <w:pPr>
        <w:pStyle w:val="NoSpacing"/>
        <w:spacing w:line="276" w:lineRule="auto"/>
        <w:jc w:val="both"/>
        <w:rPr>
          <w:rFonts w:ascii="Arial" w:hAnsi="Arial" w:cs="Arial"/>
        </w:rPr>
      </w:pPr>
      <w:r w:rsidRPr="00DF0CD6">
        <w:rPr>
          <w:rFonts w:ascii="Arial" w:hAnsi="Arial" w:cs="Arial"/>
        </w:rPr>
        <w:t>The use of race as a proxy for socio-economic status is best understood in the context of South Africa’s educational history. Until the end of Apartheid in 1994, South Africa’s TEIs were racially segregated. White students attended “historically advantaged” institutions and received a wealth of educational resources while African students attended “historically disadvantaged” institutions and were oft-neglected. Although the educational divide between White and African students has since narrowed, gross inequalities remain. For example, although the participation rate of African students in tertiary education increased from 9% in 1993 to 13% in 2000, it still remained below the comparable 47% of white students in 2000 (NPHE 2001). Data also indicate that African students are still less likely than white students to pursue programs that generate high private returns after graduation such as science, engineering, and business (Van Harte 2006).</w:t>
      </w:r>
    </w:p>
    <w:p w:rsidR="006357C5" w:rsidRDefault="006357C5" w:rsidP="006357C5">
      <w:pPr>
        <w:pStyle w:val="NoSpacing"/>
        <w:spacing w:line="276" w:lineRule="auto"/>
        <w:jc w:val="both"/>
        <w:rPr>
          <w:rFonts w:ascii="Arial" w:hAnsi="Arial" w:cs="Arial"/>
        </w:rPr>
      </w:pPr>
    </w:p>
    <w:p w:rsidR="006357C5" w:rsidRDefault="006357C5" w:rsidP="006357C5">
      <w:pPr>
        <w:pStyle w:val="TableHeading"/>
      </w:pPr>
      <w:bookmarkStart w:id="130" w:name="_Toc328742923"/>
      <w:r w:rsidRPr="00DF0CD6">
        <w:t xml:space="preserve">Table </w:t>
      </w:r>
      <w:r>
        <w:t>77:</w:t>
      </w:r>
      <w:r w:rsidRPr="00DF0CD6">
        <w:t xml:space="preserve"> Enrollment and participation of 20-24 year olds in higher education</w:t>
      </w:r>
      <w:bookmarkEnd w:id="130"/>
    </w:p>
    <w:p w:rsidR="006357C5" w:rsidRDefault="006357C5" w:rsidP="006357C5">
      <w:pPr>
        <w:pStyle w:val="NoSpacing"/>
        <w:spacing w:line="276" w:lineRule="auto"/>
        <w:jc w:val="center"/>
        <w:rPr>
          <w:rFonts w:ascii="Arial" w:hAnsi="Arial" w:cs="Arial"/>
          <w:b/>
        </w:rPr>
      </w:pPr>
      <w:r w:rsidRPr="00DF0CD6">
        <w:rPr>
          <w:rFonts w:ascii="Arial" w:hAnsi="Arial" w:cs="Arial"/>
          <w:b/>
        </w:rPr>
        <w:t xml:space="preserve"> by race, 2007</w:t>
      </w:r>
    </w:p>
    <w:p w:rsidR="006357C5" w:rsidRDefault="006357C5" w:rsidP="006357C5">
      <w:pPr>
        <w:pStyle w:val="NoSpacing"/>
        <w:spacing w:line="276" w:lineRule="auto"/>
        <w:jc w:val="center"/>
        <w:rPr>
          <w:rFonts w:ascii="Arial" w:hAnsi="Arial" w:cs="Arial"/>
          <w:b/>
        </w:rPr>
      </w:pPr>
    </w:p>
    <w:tbl>
      <w:tblPr>
        <w:tblW w:w="7380" w:type="dxa"/>
        <w:jc w:val="center"/>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firstRow="1" w:lastRow="0" w:firstColumn="1" w:lastColumn="0" w:noHBand="0" w:noVBand="0"/>
      </w:tblPr>
      <w:tblGrid>
        <w:gridCol w:w="1350"/>
        <w:gridCol w:w="2070"/>
        <w:gridCol w:w="2070"/>
        <w:gridCol w:w="1890"/>
      </w:tblGrid>
      <w:tr w:rsidR="006357C5" w:rsidRPr="00DC71B4" w:rsidTr="002554CF">
        <w:trPr>
          <w:trHeight w:val="300"/>
          <w:jc w:val="center"/>
        </w:trPr>
        <w:tc>
          <w:tcPr>
            <w:tcW w:w="1350" w:type="dxa"/>
            <w:shd w:val="clear" w:color="auto" w:fill="F2F2F2"/>
            <w:noWrap/>
            <w:vAlign w:val="center"/>
          </w:tcPr>
          <w:p w:rsidR="006357C5" w:rsidRPr="00DC71B4" w:rsidRDefault="006357C5" w:rsidP="002554CF">
            <w:pPr>
              <w:jc w:val="center"/>
              <w:rPr>
                <w:b/>
                <w:bCs/>
                <w:color w:val="000000"/>
                <w:sz w:val="20"/>
                <w:szCs w:val="20"/>
              </w:rPr>
            </w:pPr>
          </w:p>
        </w:tc>
        <w:tc>
          <w:tcPr>
            <w:tcW w:w="2070" w:type="dxa"/>
            <w:shd w:val="clear" w:color="auto" w:fill="F2F2F2"/>
            <w:noWrap/>
            <w:vAlign w:val="center"/>
          </w:tcPr>
          <w:p w:rsidR="006357C5" w:rsidRPr="00DC71B4" w:rsidRDefault="006357C5" w:rsidP="002554CF">
            <w:pPr>
              <w:rPr>
                <w:b/>
                <w:bCs/>
                <w:color w:val="000000"/>
                <w:sz w:val="20"/>
                <w:szCs w:val="20"/>
              </w:rPr>
            </w:pPr>
            <w:r w:rsidRPr="00DC71B4">
              <w:rPr>
                <w:b/>
                <w:bCs/>
                <w:color w:val="000000"/>
                <w:sz w:val="20"/>
                <w:szCs w:val="20"/>
              </w:rPr>
              <w:t>20-24 year olds in the country</w:t>
            </w:r>
          </w:p>
        </w:tc>
        <w:tc>
          <w:tcPr>
            <w:tcW w:w="2070" w:type="dxa"/>
            <w:shd w:val="clear" w:color="auto" w:fill="F2F2F2"/>
            <w:noWrap/>
            <w:vAlign w:val="center"/>
          </w:tcPr>
          <w:p w:rsidR="006357C5" w:rsidRPr="00DC71B4" w:rsidRDefault="006357C5" w:rsidP="002554CF">
            <w:pPr>
              <w:rPr>
                <w:b/>
                <w:bCs/>
                <w:color w:val="000000"/>
                <w:sz w:val="20"/>
                <w:szCs w:val="20"/>
              </w:rPr>
            </w:pPr>
            <w:r w:rsidRPr="00DC71B4">
              <w:rPr>
                <w:b/>
                <w:bCs/>
                <w:color w:val="000000"/>
                <w:sz w:val="20"/>
                <w:szCs w:val="20"/>
              </w:rPr>
              <w:t>Students enrolled in higher education</w:t>
            </w:r>
          </w:p>
        </w:tc>
        <w:tc>
          <w:tcPr>
            <w:tcW w:w="1890" w:type="dxa"/>
            <w:shd w:val="clear" w:color="auto" w:fill="F2F2F2"/>
            <w:noWrap/>
            <w:vAlign w:val="center"/>
          </w:tcPr>
          <w:p w:rsidR="006357C5" w:rsidRPr="00DC71B4" w:rsidRDefault="006357C5" w:rsidP="002554CF">
            <w:pPr>
              <w:rPr>
                <w:b/>
                <w:bCs/>
                <w:color w:val="000000"/>
                <w:sz w:val="20"/>
                <w:szCs w:val="20"/>
              </w:rPr>
            </w:pPr>
            <w:r w:rsidRPr="00DC71B4">
              <w:rPr>
                <w:b/>
                <w:bCs/>
                <w:color w:val="000000"/>
                <w:sz w:val="20"/>
                <w:szCs w:val="20"/>
              </w:rPr>
              <w:t>Participation rate</w:t>
            </w:r>
          </w:p>
        </w:tc>
      </w:tr>
      <w:tr w:rsidR="006357C5" w:rsidRPr="00DC71B4" w:rsidTr="002554CF">
        <w:trPr>
          <w:trHeight w:val="300"/>
          <w:jc w:val="center"/>
        </w:trPr>
        <w:tc>
          <w:tcPr>
            <w:tcW w:w="1350" w:type="dxa"/>
            <w:noWrap/>
            <w:vAlign w:val="center"/>
          </w:tcPr>
          <w:p w:rsidR="006357C5" w:rsidRPr="00DC71B4" w:rsidRDefault="006357C5" w:rsidP="002554CF">
            <w:pPr>
              <w:rPr>
                <w:b/>
                <w:bCs/>
                <w:color w:val="000000"/>
                <w:sz w:val="20"/>
                <w:szCs w:val="20"/>
              </w:rPr>
            </w:pPr>
            <w:r w:rsidRPr="00DC71B4">
              <w:rPr>
                <w:b/>
                <w:bCs/>
                <w:color w:val="000000"/>
                <w:sz w:val="20"/>
                <w:szCs w:val="20"/>
              </w:rPr>
              <w:t>African</w:t>
            </w:r>
          </w:p>
        </w:tc>
        <w:tc>
          <w:tcPr>
            <w:tcW w:w="2070" w:type="dxa"/>
            <w:noWrap/>
            <w:vAlign w:val="center"/>
          </w:tcPr>
          <w:p w:rsidR="006357C5" w:rsidRPr="00DC71B4" w:rsidRDefault="006357C5" w:rsidP="002554CF">
            <w:pPr>
              <w:rPr>
                <w:color w:val="000000"/>
                <w:sz w:val="20"/>
                <w:szCs w:val="20"/>
              </w:rPr>
            </w:pPr>
            <w:r w:rsidRPr="00DC71B4">
              <w:rPr>
                <w:color w:val="000000"/>
                <w:sz w:val="20"/>
                <w:szCs w:val="20"/>
              </w:rPr>
              <w:t>3,918,890</w:t>
            </w:r>
          </w:p>
        </w:tc>
        <w:tc>
          <w:tcPr>
            <w:tcW w:w="2070" w:type="dxa"/>
            <w:noWrap/>
            <w:vAlign w:val="center"/>
          </w:tcPr>
          <w:p w:rsidR="006357C5" w:rsidRPr="00DC71B4" w:rsidRDefault="006357C5" w:rsidP="002554CF">
            <w:pPr>
              <w:rPr>
                <w:color w:val="000000"/>
                <w:sz w:val="20"/>
                <w:szCs w:val="20"/>
              </w:rPr>
            </w:pPr>
            <w:r w:rsidRPr="00DC71B4">
              <w:rPr>
                <w:color w:val="000000"/>
                <w:sz w:val="20"/>
                <w:szCs w:val="20"/>
              </w:rPr>
              <w:t>476,768</w:t>
            </w:r>
          </w:p>
        </w:tc>
        <w:tc>
          <w:tcPr>
            <w:tcW w:w="1890" w:type="dxa"/>
            <w:noWrap/>
            <w:vAlign w:val="center"/>
          </w:tcPr>
          <w:p w:rsidR="006357C5" w:rsidRPr="00DC71B4" w:rsidRDefault="006357C5" w:rsidP="002554CF">
            <w:pPr>
              <w:rPr>
                <w:color w:val="000000"/>
                <w:sz w:val="20"/>
                <w:szCs w:val="20"/>
              </w:rPr>
            </w:pPr>
            <w:r w:rsidRPr="00DC71B4">
              <w:rPr>
                <w:color w:val="000000"/>
                <w:sz w:val="20"/>
                <w:szCs w:val="20"/>
              </w:rPr>
              <w:t>12%</w:t>
            </w:r>
          </w:p>
        </w:tc>
      </w:tr>
      <w:tr w:rsidR="006357C5" w:rsidRPr="00DC71B4" w:rsidTr="002554CF">
        <w:trPr>
          <w:trHeight w:val="300"/>
          <w:jc w:val="center"/>
        </w:trPr>
        <w:tc>
          <w:tcPr>
            <w:tcW w:w="1350" w:type="dxa"/>
            <w:noWrap/>
            <w:vAlign w:val="center"/>
          </w:tcPr>
          <w:p w:rsidR="006357C5" w:rsidRPr="00DC71B4" w:rsidRDefault="006357C5" w:rsidP="002554CF">
            <w:pPr>
              <w:rPr>
                <w:b/>
                <w:bCs/>
                <w:color w:val="000000"/>
                <w:sz w:val="20"/>
                <w:szCs w:val="20"/>
              </w:rPr>
            </w:pPr>
            <w:r w:rsidRPr="00DC71B4">
              <w:rPr>
                <w:b/>
                <w:bCs/>
                <w:color w:val="000000"/>
                <w:sz w:val="20"/>
                <w:szCs w:val="20"/>
              </w:rPr>
              <w:t>Colored</w:t>
            </w:r>
          </w:p>
        </w:tc>
        <w:tc>
          <w:tcPr>
            <w:tcW w:w="2070" w:type="dxa"/>
            <w:noWrap/>
            <w:vAlign w:val="center"/>
          </w:tcPr>
          <w:p w:rsidR="006357C5" w:rsidRPr="00DC71B4" w:rsidRDefault="006357C5" w:rsidP="002554CF">
            <w:pPr>
              <w:rPr>
                <w:color w:val="000000"/>
                <w:sz w:val="20"/>
                <w:szCs w:val="20"/>
              </w:rPr>
            </w:pPr>
            <w:r w:rsidRPr="00DC71B4">
              <w:rPr>
                <w:color w:val="000000"/>
                <w:sz w:val="20"/>
                <w:szCs w:val="20"/>
              </w:rPr>
              <w:t>416,355</w:t>
            </w:r>
          </w:p>
        </w:tc>
        <w:tc>
          <w:tcPr>
            <w:tcW w:w="2070" w:type="dxa"/>
            <w:noWrap/>
            <w:vAlign w:val="center"/>
          </w:tcPr>
          <w:p w:rsidR="006357C5" w:rsidRPr="00DC71B4" w:rsidRDefault="006357C5" w:rsidP="002554CF">
            <w:pPr>
              <w:rPr>
                <w:color w:val="000000"/>
                <w:sz w:val="20"/>
                <w:szCs w:val="20"/>
              </w:rPr>
            </w:pPr>
            <w:r w:rsidRPr="00DC71B4">
              <w:rPr>
                <w:color w:val="000000"/>
                <w:sz w:val="20"/>
                <w:szCs w:val="20"/>
              </w:rPr>
              <w:t>49,069</w:t>
            </w:r>
          </w:p>
        </w:tc>
        <w:tc>
          <w:tcPr>
            <w:tcW w:w="1890" w:type="dxa"/>
            <w:noWrap/>
            <w:vAlign w:val="center"/>
          </w:tcPr>
          <w:p w:rsidR="006357C5" w:rsidRPr="00DC71B4" w:rsidRDefault="006357C5" w:rsidP="002554CF">
            <w:pPr>
              <w:rPr>
                <w:color w:val="000000"/>
                <w:sz w:val="20"/>
                <w:szCs w:val="20"/>
              </w:rPr>
            </w:pPr>
            <w:r w:rsidRPr="00DC71B4">
              <w:rPr>
                <w:color w:val="000000"/>
                <w:sz w:val="20"/>
                <w:szCs w:val="20"/>
              </w:rPr>
              <w:t>12%</w:t>
            </w:r>
          </w:p>
        </w:tc>
      </w:tr>
      <w:tr w:rsidR="006357C5" w:rsidRPr="00DC71B4" w:rsidTr="002554CF">
        <w:trPr>
          <w:trHeight w:val="300"/>
          <w:jc w:val="center"/>
        </w:trPr>
        <w:tc>
          <w:tcPr>
            <w:tcW w:w="1350" w:type="dxa"/>
            <w:noWrap/>
            <w:vAlign w:val="center"/>
          </w:tcPr>
          <w:p w:rsidR="006357C5" w:rsidRPr="00DC71B4" w:rsidRDefault="006357C5" w:rsidP="002554CF">
            <w:pPr>
              <w:rPr>
                <w:b/>
                <w:bCs/>
                <w:color w:val="000000"/>
                <w:sz w:val="20"/>
                <w:szCs w:val="20"/>
              </w:rPr>
            </w:pPr>
            <w:r w:rsidRPr="00DC71B4">
              <w:rPr>
                <w:b/>
                <w:bCs/>
                <w:color w:val="000000"/>
                <w:sz w:val="20"/>
                <w:szCs w:val="20"/>
              </w:rPr>
              <w:t>Indian</w:t>
            </w:r>
          </w:p>
        </w:tc>
        <w:tc>
          <w:tcPr>
            <w:tcW w:w="2070" w:type="dxa"/>
            <w:noWrap/>
            <w:vAlign w:val="center"/>
          </w:tcPr>
          <w:p w:rsidR="006357C5" w:rsidRPr="00DC71B4" w:rsidRDefault="006357C5" w:rsidP="002554CF">
            <w:pPr>
              <w:rPr>
                <w:color w:val="000000"/>
                <w:sz w:val="20"/>
                <w:szCs w:val="20"/>
              </w:rPr>
            </w:pPr>
            <w:r w:rsidRPr="00DC71B4">
              <w:rPr>
                <w:color w:val="000000"/>
                <w:sz w:val="20"/>
                <w:szCs w:val="20"/>
              </w:rPr>
              <w:t>122,412</w:t>
            </w:r>
          </w:p>
        </w:tc>
        <w:tc>
          <w:tcPr>
            <w:tcW w:w="2070" w:type="dxa"/>
            <w:noWrap/>
            <w:vAlign w:val="center"/>
          </w:tcPr>
          <w:p w:rsidR="006357C5" w:rsidRPr="00DC71B4" w:rsidRDefault="006357C5" w:rsidP="002554CF">
            <w:pPr>
              <w:rPr>
                <w:color w:val="000000"/>
                <w:sz w:val="20"/>
                <w:szCs w:val="20"/>
              </w:rPr>
            </w:pPr>
            <w:r w:rsidRPr="00DC71B4">
              <w:rPr>
                <w:color w:val="000000"/>
                <w:sz w:val="20"/>
                <w:szCs w:val="20"/>
              </w:rPr>
              <w:t>52,596</w:t>
            </w:r>
          </w:p>
        </w:tc>
        <w:tc>
          <w:tcPr>
            <w:tcW w:w="1890" w:type="dxa"/>
            <w:noWrap/>
            <w:vAlign w:val="center"/>
          </w:tcPr>
          <w:p w:rsidR="006357C5" w:rsidRPr="00DC71B4" w:rsidRDefault="006357C5" w:rsidP="002554CF">
            <w:pPr>
              <w:rPr>
                <w:color w:val="000000"/>
                <w:sz w:val="20"/>
                <w:szCs w:val="20"/>
              </w:rPr>
            </w:pPr>
            <w:r w:rsidRPr="00DC71B4">
              <w:rPr>
                <w:color w:val="000000"/>
                <w:sz w:val="20"/>
                <w:szCs w:val="20"/>
              </w:rPr>
              <w:t>43%</w:t>
            </w:r>
          </w:p>
        </w:tc>
      </w:tr>
      <w:tr w:rsidR="006357C5" w:rsidRPr="00DC71B4" w:rsidTr="002554CF">
        <w:trPr>
          <w:trHeight w:val="300"/>
          <w:jc w:val="center"/>
        </w:trPr>
        <w:tc>
          <w:tcPr>
            <w:tcW w:w="1350" w:type="dxa"/>
            <w:noWrap/>
            <w:vAlign w:val="center"/>
          </w:tcPr>
          <w:p w:rsidR="006357C5" w:rsidRPr="00DC71B4" w:rsidRDefault="006357C5" w:rsidP="002554CF">
            <w:pPr>
              <w:rPr>
                <w:b/>
                <w:bCs/>
                <w:color w:val="000000"/>
                <w:sz w:val="20"/>
                <w:szCs w:val="20"/>
              </w:rPr>
            </w:pPr>
            <w:r w:rsidRPr="00DC71B4">
              <w:rPr>
                <w:b/>
                <w:bCs/>
                <w:color w:val="000000"/>
                <w:sz w:val="20"/>
                <w:szCs w:val="20"/>
              </w:rPr>
              <w:lastRenderedPageBreak/>
              <w:t>White</w:t>
            </w:r>
          </w:p>
        </w:tc>
        <w:tc>
          <w:tcPr>
            <w:tcW w:w="2070" w:type="dxa"/>
            <w:noWrap/>
            <w:vAlign w:val="center"/>
          </w:tcPr>
          <w:p w:rsidR="006357C5" w:rsidRPr="00DC71B4" w:rsidRDefault="006357C5" w:rsidP="002554CF">
            <w:pPr>
              <w:rPr>
                <w:color w:val="000000"/>
                <w:sz w:val="20"/>
                <w:szCs w:val="20"/>
              </w:rPr>
            </w:pPr>
            <w:r w:rsidRPr="00DC71B4">
              <w:rPr>
                <w:color w:val="000000"/>
                <w:sz w:val="20"/>
                <w:szCs w:val="20"/>
              </w:rPr>
              <w:t>334,150</w:t>
            </w:r>
          </w:p>
        </w:tc>
        <w:tc>
          <w:tcPr>
            <w:tcW w:w="2070" w:type="dxa"/>
            <w:noWrap/>
            <w:vAlign w:val="center"/>
          </w:tcPr>
          <w:p w:rsidR="006357C5" w:rsidRPr="00DC71B4" w:rsidRDefault="006357C5" w:rsidP="002554CF">
            <w:pPr>
              <w:rPr>
                <w:color w:val="000000"/>
                <w:sz w:val="20"/>
                <w:szCs w:val="20"/>
              </w:rPr>
            </w:pPr>
            <w:r w:rsidRPr="00DC71B4">
              <w:rPr>
                <w:color w:val="000000"/>
                <w:sz w:val="20"/>
                <w:szCs w:val="20"/>
              </w:rPr>
              <w:t>180,463</w:t>
            </w:r>
          </w:p>
        </w:tc>
        <w:tc>
          <w:tcPr>
            <w:tcW w:w="1890" w:type="dxa"/>
            <w:noWrap/>
            <w:vAlign w:val="center"/>
          </w:tcPr>
          <w:p w:rsidR="006357C5" w:rsidRPr="00DC71B4" w:rsidRDefault="006357C5" w:rsidP="002554CF">
            <w:pPr>
              <w:rPr>
                <w:color w:val="000000"/>
                <w:sz w:val="20"/>
                <w:szCs w:val="20"/>
              </w:rPr>
            </w:pPr>
            <w:r w:rsidRPr="00DC71B4">
              <w:rPr>
                <w:color w:val="000000"/>
                <w:sz w:val="20"/>
                <w:szCs w:val="20"/>
              </w:rPr>
              <w:t>54%</w:t>
            </w:r>
          </w:p>
        </w:tc>
      </w:tr>
      <w:tr w:rsidR="006357C5" w:rsidRPr="00DC71B4" w:rsidTr="002554CF">
        <w:trPr>
          <w:trHeight w:val="300"/>
          <w:jc w:val="center"/>
        </w:trPr>
        <w:tc>
          <w:tcPr>
            <w:tcW w:w="1350" w:type="dxa"/>
            <w:noWrap/>
            <w:vAlign w:val="center"/>
          </w:tcPr>
          <w:p w:rsidR="006357C5" w:rsidRPr="00DC71B4" w:rsidRDefault="006357C5" w:rsidP="002554CF">
            <w:pPr>
              <w:rPr>
                <w:b/>
                <w:bCs/>
                <w:color w:val="000000"/>
                <w:sz w:val="20"/>
                <w:szCs w:val="20"/>
              </w:rPr>
            </w:pPr>
            <w:r w:rsidRPr="00DC71B4">
              <w:rPr>
                <w:b/>
                <w:bCs/>
                <w:color w:val="000000"/>
                <w:sz w:val="20"/>
                <w:szCs w:val="20"/>
              </w:rPr>
              <w:t>TOTAL</w:t>
            </w:r>
          </w:p>
        </w:tc>
        <w:tc>
          <w:tcPr>
            <w:tcW w:w="2070" w:type="dxa"/>
            <w:noWrap/>
            <w:vAlign w:val="center"/>
          </w:tcPr>
          <w:p w:rsidR="006357C5" w:rsidRPr="00DC71B4" w:rsidRDefault="006357C5" w:rsidP="002554CF">
            <w:pPr>
              <w:rPr>
                <w:b/>
                <w:bCs/>
                <w:color w:val="000000"/>
                <w:sz w:val="20"/>
                <w:szCs w:val="20"/>
              </w:rPr>
            </w:pPr>
            <w:r w:rsidRPr="00DC71B4">
              <w:rPr>
                <w:b/>
                <w:bCs/>
                <w:color w:val="000000"/>
                <w:sz w:val="20"/>
                <w:szCs w:val="20"/>
              </w:rPr>
              <w:t>4,791,807</w:t>
            </w:r>
          </w:p>
        </w:tc>
        <w:tc>
          <w:tcPr>
            <w:tcW w:w="2070" w:type="dxa"/>
            <w:noWrap/>
            <w:vAlign w:val="center"/>
          </w:tcPr>
          <w:p w:rsidR="006357C5" w:rsidRPr="00DC71B4" w:rsidRDefault="006357C5" w:rsidP="002554CF">
            <w:pPr>
              <w:rPr>
                <w:b/>
                <w:bCs/>
                <w:color w:val="000000"/>
                <w:sz w:val="20"/>
                <w:szCs w:val="20"/>
              </w:rPr>
            </w:pPr>
            <w:r w:rsidRPr="00DC71B4">
              <w:rPr>
                <w:b/>
                <w:bCs/>
                <w:color w:val="000000"/>
                <w:sz w:val="20"/>
                <w:szCs w:val="20"/>
              </w:rPr>
              <w:t>758,896</w:t>
            </w:r>
          </w:p>
        </w:tc>
        <w:tc>
          <w:tcPr>
            <w:tcW w:w="1890" w:type="dxa"/>
            <w:noWrap/>
            <w:vAlign w:val="center"/>
          </w:tcPr>
          <w:p w:rsidR="006357C5" w:rsidRPr="00DC71B4" w:rsidRDefault="006357C5" w:rsidP="002554CF">
            <w:pPr>
              <w:rPr>
                <w:b/>
                <w:bCs/>
                <w:color w:val="000000"/>
                <w:sz w:val="20"/>
                <w:szCs w:val="20"/>
              </w:rPr>
            </w:pPr>
            <w:r w:rsidRPr="00DC71B4">
              <w:rPr>
                <w:b/>
                <w:bCs/>
                <w:color w:val="000000"/>
                <w:sz w:val="20"/>
                <w:szCs w:val="20"/>
              </w:rPr>
              <w:t>16%</w:t>
            </w:r>
          </w:p>
        </w:tc>
      </w:tr>
    </w:tbl>
    <w:p w:rsidR="006357C5" w:rsidRDefault="006357C5" w:rsidP="006357C5">
      <w:pPr>
        <w:pStyle w:val="NoSpacing"/>
        <w:spacing w:line="276" w:lineRule="auto"/>
        <w:ind w:left="720" w:firstLine="270"/>
        <w:rPr>
          <w:rFonts w:ascii="Arial" w:hAnsi="Arial" w:cs="Arial"/>
          <w:sz w:val="18"/>
          <w:szCs w:val="18"/>
        </w:rPr>
      </w:pPr>
      <w:r w:rsidRPr="007A5938">
        <w:rPr>
          <w:rFonts w:ascii="Arial" w:hAnsi="Arial"/>
          <w:sz w:val="18"/>
          <w:u w:val="single"/>
        </w:rPr>
        <w:t>Source:</w:t>
      </w:r>
      <w:r w:rsidRPr="00575059">
        <w:rPr>
          <w:rFonts w:ascii="Arial" w:hAnsi="Arial" w:cs="Arial"/>
          <w:sz w:val="18"/>
          <w:szCs w:val="18"/>
        </w:rPr>
        <w:t xml:space="preserve"> HEMIS, Stats S via CHE</w:t>
      </w:r>
    </w:p>
    <w:p w:rsidR="006357C5" w:rsidRDefault="006357C5" w:rsidP="006357C5">
      <w:pPr>
        <w:pStyle w:val="NoSpacing"/>
        <w:spacing w:line="276" w:lineRule="auto"/>
        <w:jc w:val="both"/>
        <w:rPr>
          <w:rFonts w:ascii="Arial" w:hAnsi="Arial" w:cs="Arial"/>
        </w:rPr>
      </w:pPr>
    </w:p>
    <w:p w:rsidR="006357C5" w:rsidRPr="00DF0CD6" w:rsidRDefault="006357C5" w:rsidP="006357C5">
      <w:pPr>
        <w:pStyle w:val="NoSpacing"/>
        <w:spacing w:line="276" w:lineRule="auto"/>
        <w:jc w:val="both"/>
        <w:rPr>
          <w:rFonts w:ascii="Arial" w:hAnsi="Arial" w:cs="Arial"/>
        </w:rPr>
      </w:pPr>
      <w:r w:rsidRPr="00DF0CD6">
        <w:rPr>
          <w:rFonts w:ascii="Arial" w:hAnsi="Arial" w:cs="Arial"/>
        </w:rPr>
        <w:t>Aside from government funding, South African TEIs are also financed by student tuition payments and by private revenue streams that include donations and other income-generating activities (IEASA 2011).</w:t>
      </w:r>
    </w:p>
    <w:p w:rsidR="006357C5" w:rsidRPr="00DF0CD6" w:rsidRDefault="006357C5" w:rsidP="006357C5">
      <w:pPr>
        <w:pStyle w:val="NoSpacing"/>
        <w:spacing w:line="276" w:lineRule="auto"/>
        <w:jc w:val="both"/>
        <w:rPr>
          <w:rFonts w:ascii="Arial" w:hAnsi="Arial" w:cs="Arial"/>
        </w:rPr>
      </w:pPr>
    </w:p>
    <w:p w:rsidR="006357C5" w:rsidRPr="00034AC3" w:rsidRDefault="006357C5" w:rsidP="006357C5">
      <w:r w:rsidRPr="00034AC3">
        <w:t>B) Allocation of costs of tertiary education between private and public actors</w:t>
      </w:r>
    </w:p>
    <w:p w:rsidR="006357C5" w:rsidRPr="00DF0CD6" w:rsidRDefault="006357C5" w:rsidP="006357C5">
      <w:pPr>
        <w:rPr>
          <w:b/>
        </w:rPr>
      </w:pPr>
    </w:p>
    <w:p w:rsidR="006357C5" w:rsidRDefault="006357C5" w:rsidP="006357C5">
      <w:pPr>
        <w:pStyle w:val="NoSpacing"/>
        <w:spacing w:line="276" w:lineRule="auto"/>
        <w:jc w:val="both"/>
        <w:rPr>
          <w:rFonts w:ascii="Arial" w:hAnsi="Arial" w:cs="Arial"/>
        </w:rPr>
      </w:pPr>
      <w:r w:rsidRPr="00DF0CD6">
        <w:rPr>
          <w:rFonts w:ascii="Arial" w:hAnsi="Arial" w:cs="Arial"/>
        </w:rPr>
        <w:t>A 2007 analysis of higher education in South Africa shows that on average, 40% of tertiary education income comes from state subsidies, 28% from student fees, and 32% from other private sources (CHE 2009). A closer analysis shows that the degree of dependence varies by institution. Some universities get approximately 30% of their funding from the government, while others receive the majority of their revenue—up to 65%—from state subsidies. Another example would be historically advantaged institutions (HAI), which derive 40% of their revenues from private sources, versus universities of technology, which generate only 12% of their revenue from private sources, on average. In sum, the share of university revenue that comes from public funding, tuition-based funding, and private funding varies greatly by TEI (DHET 2011).</w:t>
      </w:r>
    </w:p>
    <w:p w:rsidR="006357C5" w:rsidRDefault="006357C5" w:rsidP="006357C5">
      <w:pPr>
        <w:pStyle w:val="NoSpacing"/>
        <w:spacing w:line="276" w:lineRule="auto"/>
        <w:jc w:val="both"/>
        <w:rPr>
          <w:rFonts w:ascii="Arial" w:hAnsi="Arial" w:cs="Arial"/>
        </w:rPr>
      </w:pPr>
      <w:r w:rsidRPr="00DF0CD6">
        <w:rPr>
          <w:rFonts w:ascii="Arial" w:hAnsi="Arial" w:cs="Arial"/>
        </w:rPr>
        <w:t>What have not varied in recent years are trends. Since 2004, government funding for TEIs has decreased as a proportion of the national budget. The South African government hopes to reverse this trend in 2010/2011 by setting aside an extra R2 billion ($271 million) for higher education and increasing spending to R19.9 billion ($2.7 billion), so that it equals 2.51% instead of 2.37% of the national budget. Another trend is for university tuition fees to continually rise. As a report by the Council on Higher Education states, the university practice of increasing fees has been contested by students:</w:t>
      </w:r>
    </w:p>
    <w:p w:rsidR="006357C5" w:rsidRDefault="006357C5" w:rsidP="006357C5">
      <w:pPr>
        <w:pStyle w:val="NoSpacing"/>
        <w:spacing w:line="276" w:lineRule="auto"/>
        <w:jc w:val="both"/>
        <w:rPr>
          <w:rFonts w:ascii="Arial" w:hAnsi="Arial" w:cs="Arial"/>
        </w:rPr>
      </w:pPr>
    </w:p>
    <w:p w:rsidR="006357C5" w:rsidRDefault="006357C5" w:rsidP="006357C5">
      <w:pPr>
        <w:pStyle w:val="NoSpacing"/>
        <w:spacing w:line="276" w:lineRule="auto"/>
        <w:ind w:left="720"/>
        <w:jc w:val="both"/>
        <w:rPr>
          <w:rFonts w:ascii="Arial" w:hAnsi="Arial" w:cs="Arial"/>
        </w:rPr>
      </w:pPr>
      <w:r w:rsidRPr="00DF0CD6">
        <w:rPr>
          <w:rFonts w:ascii="Arial" w:hAnsi="Arial" w:cs="Arial"/>
        </w:rPr>
        <w:t>“There have been student protests every year since 2004 over fee increases, financial exclusions and lack of adequate financial assistance. In 2008 for example, students protested at the Durban University of Technology, the University of Johannesburg, the University of KwaZulu-Natal, the University of Limpopo, North West University, Tshwane University of Technology, and the University of the Witwatersrand” (CHE 2009).</w:t>
      </w:r>
    </w:p>
    <w:p w:rsidR="006357C5" w:rsidRDefault="006357C5" w:rsidP="006357C5">
      <w:pPr>
        <w:pStyle w:val="NoSpacing"/>
        <w:spacing w:line="276" w:lineRule="auto"/>
        <w:ind w:left="720"/>
        <w:jc w:val="both"/>
        <w:rPr>
          <w:rFonts w:ascii="Arial" w:hAnsi="Arial" w:cs="Arial"/>
        </w:rPr>
      </w:pPr>
    </w:p>
    <w:p w:rsidR="006357C5" w:rsidRDefault="006357C5" w:rsidP="006357C5">
      <w:pPr>
        <w:pStyle w:val="NoSpacing"/>
        <w:spacing w:line="276" w:lineRule="auto"/>
        <w:jc w:val="both"/>
        <w:rPr>
          <w:rFonts w:ascii="Arial" w:hAnsi="Arial" w:cs="Arial"/>
        </w:rPr>
      </w:pPr>
      <w:r w:rsidRPr="00DF0CD6">
        <w:rPr>
          <w:rFonts w:ascii="Arial" w:hAnsi="Arial" w:cs="Arial"/>
        </w:rPr>
        <w:t xml:space="preserve">The dual trends of less government spending as a proportion of the national budget and more student spending as a result of higher tuition prices has led universities to think deeply about how to cover costs. It is perhaps for this reason that many more universities have started turning toward private and more varied sources of revenue (CHE 2009). </w:t>
      </w:r>
    </w:p>
    <w:p w:rsidR="006357C5" w:rsidRDefault="006357C5" w:rsidP="006357C5">
      <w:pPr>
        <w:pStyle w:val="NoSpacing"/>
        <w:spacing w:line="276" w:lineRule="auto"/>
        <w:jc w:val="both"/>
        <w:rPr>
          <w:rFonts w:ascii="Arial" w:hAnsi="Arial" w:cs="Arial"/>
        </w:rPr>
      </w:pPr>
    </w:p>
    <w:p w:rsidR="006357C5" w:rsidRDefault="006357C5" w:rsidP="006357C5">
      <w:pPr>
        <w:rPr>
          <w:b/>
        </w:rPr>
      </w:pPr>
      <w:r w:rsidRPr="00DF0CD6">
        <w:rPr>
          <w:b/>
        </w:rPr>
        <w:t>C) Analysis of the student aid system and how it helps public actors cover costs of tertiary education</w:t>
      </w:r>
    </w:p>
    <w:p w:rsidR="006357C5" w:rsidRDefault="006357C5" w:rsidP="006357C5">
      <w:pPr>
        <w:rPr>
          <w:b/>
        </w:rPr>
      </w:pPr>
    </w:p>
    <w:p w:rsidR="006357C5" w:rsidRDefault="006357C5" w:rsidP="006357C5">
      <w:pPr>
        <w:pStyle w:val="NoSpacing"/>
        <w:spacing w:line="276" w:lineRule="auto"/>
        <w:jc w:val="both"/>
        <w:rPr>
          <w:rFonts w:ascii="Arial" w:hAnsi="Arial" w:cs="Arial"/>
        </w:rPr>
      </w:pPr>
      <w:r w:rsidRPr="00DF0CD6">
        <w:rPr>
          <w:rFonts w:ascii="Arial" w:hAnsi="Arial" w:cs="Arial"/>
        </w:rPr>
        <w:t xml:space="preserve">The National Student Financial Aid Scheme (NSFAS) was established in 1996 as a government loan agency with the purpose of helping academically qualified and financially needy students to attend institutions of higher education. NSFAS was motivated essentially by “a concern that </w:t>
      </w:r>
      <w:r w:rsidRPr="00DF0CD6">
        <w:rPr>
          <w:rFonts w:ascii="Arial" w:hAnsi="Arial" w:cs="Arial"/>
        </w:rPr>
        <w:lastRenderedPageBreak/>
        <w:t xml:space="preserve">without assistance the marked racial skewing of the higher education system away from non-whites would remain,” (Chapman). </w:t>
      </w:r>
    </w:p>
    <w:p w:rsidR="006357C5" w:rsidRDefault="006357C5" w:rsidP="006357C5">
      <w:pPr>
        <w:pStyle w:val="NoSpacing"/>
        <w:spacing w:line="276" w:lineRule="auto"/>
        <w:jc w:val="both"/>
        <w:rPr>
          <w:rFonts w:ascii="Arial" w:hAnsi="Arial" w:cs="Arial"/>
        </w:rPr>
      </w:pPr>
    </w:p>
    <w:p w:rsidR="006357C5" w:rsidRDefault="006357C5" w:rsidP="006357C5">
      <w:pPr>
        <w:pStyle w:val="NoSpacing"/>
        <w:spacing w:line="276" w:lineRule="auto"/>
        <w:jc w:val="both"/>
        <w:rPr>
          <w:rFonts w:ascii="Arial" w:hAnsi="Arial" w:cs="Arial"/>
        </w:rPr>
      </w:pPr>
      <w:r w:rsidRPr="00DF0CD6">
        <w:rPr>
          <w:rFonts w:ascii="Arial" w:hAnsi="Arial" w:cs="Arial"/>
        </w:rPr>
        <w:t>In 2007, the NSFAS paid out R1.79 billion ($243 million) worth of education loans to 113,617 students. By 2009 those numbers had increased to R3.15 billion ($427 million) and 138,235 students. The NSFAS currently provides some form of assistance to 17% of the college and university going population (DHET 2011).</w:t>
      </w:r>
    </w:p>
    <w:p w:rsidR="006357C5" w:rsidRDefault="006357C5" w:rsidP="006357C5">
      <w:pPr>
        <w:pStyle w:val="NoSpacing"/>
        <w:spacing w:line="276" w:lineRule="auto"/>
        <w:jc w:val="both"/>
        <w:rPr>
          <w:rFonts w:ascii="Arial" w:hAnsi="Arial" w:cs="Arial"/>
        </w:rPr>
      </w:pPr>
    </w:p>
    <w:p w:rsidR="006357C5" w:rsidRDefault="006357C5" w:rsidP="006357C5">
      <w:pPr>
        <w:pStyle w:val="NoSpacing"/>
        <w:spacing w:line="276" w:lineRule="auto"/>
        <w:jc w:val="both"/>
        <w:rPr>
          <w:rFonts w:ascii="Arial" w:hAnsi="Arial" w:cs="Arial"/>
        </w:rPr>
      </w:pPr>
      <w:r w:rsidRPr="00DF0CD6">
        <w:rPr>
          <w:rFonts w:ascii="Arial" w:hAnsi="Arial" w:cs="Arial"/>
        </w:rPr>
        <w:t xml:space="preserve">NSFAS originates loans mostly using government funding. The majority of NSFAS funding comes from the Department of Higher Education and Training. Additional sources of funding include other government bodies (other departments as well as provincial governments), foreign financing (Nedbank and Irish Aid) and revenue earned from repayments and loan recovery. NSFAS also generates some of its income by charging a service fee for administering student grants on behalf of other organizations (DHET 2011). </w:t>
      </w:r>
    </w:p>
    <w:p w:rsidR="006357C5" w:rsidRDefault="006357C5" w:rsidP="006357C5">
      <w:pPr>
        <w:pStyle w:val="NoSpacing"/>
        <w:spacing w:line="276" w:lineRule="auto"/>
        <w:jc w:val="both"/>
        <w:rPr>
          <w:rFonts w:ascii="Arial" w:hAnsi="Arial" w:cs="Arial"/>
        </w:rPr>
      </w:pPr>
    </w:p>
    <w:p w:rsidR="006357C5" w:rsidRDefault="006357C5" w:rsidP="006357C5">
      <w:pPr>
        <w:pStyle w:val="NoSpacing"/>
        <w:spacing w:line="276" w:lineRule="auto"/>
        <w:jc w:val="both"/>
        <w:rPr>
          <w:rFonts w:ascii="Arial" w:hAnsi="Arial" w:cs="Arial"/>
        </w:rPr>
      </w:pPr>
      <w:r w:rsidRPr="00DF0CD6">
        <w:rPr>
          <w:rFonts w:ascii="Arial" w:hAnsi="Arial" w:cs="Arial"/>
        </w:rPr>
        <w:t>NSFAS loans have two distinctive qualities. The first is that they have a 40:60 grant scheme. Up to 40% of a NSFAS loan can be converted into a grant that does not need to be paid back. The degree of grant conversion depends on the number of courses a student passes. Passing one out of four classes equates to a 10% grant. Passing three out of four classes leads to a 30% grant. Four out of four classes must be passed for the full 40% grant (University of the Free State [UFS]).</w:t>
      </w:r>
      <w:r w:rsidRPr="00DF0CD6">
        <w:rPr>
          <w:rFonts w:ascii="Arial" w:hAnsi="Arial" w:cs="Arial"/>
          <w:vertAlign w:val="superscript"/>
        </w:rPr>
        <w:footnoteReference w:id="50"/>
      </w:r>
      <w:r w:rsidRPr="00DF0CD6">
        <w:rPr>
          <w:rFonts w:ascii="Arial" w:hAnsi="Arial" w:cs="Arial"/>
        </w:rPr>
        <w:t xml:space="preserve"> The second distinctive quality of NSFAS loans is income-contingency. Repayment of NSFAS loans has always depended on and continues to depend on a student’s post graduate income. If a student is unemployed after graduation, he or she pays nothing.</w:t>
      </w:r>
      <w:r w:rsidRPr="00DF0CD6">
        <w:rPr>
          <w:rStyle w:val="FootnoteReference"/>
          <w:rFonts w:ascii="Arial" w:hAnsi="Arial" w:cs="Arial"/>
        </w:rPr>
        <w:footnoteReference w:id="51"/>
      </w:r>
      <w:r w:rsidRPr="00DF0CD6">
        <w:rPr>
          <w:rFonts w:ascii="Arial" w:hAnsi="Arial" w:cs="Arial"/>
        </w:rPr>
        <w:t xml:space="preserve"> Students begin paying back NSFAS loans only when they earn a salary that is R30,000 ($4,065) or more. The repayment rate starts at 3% of a graduate’s annual salary and can increase up to 8% when the graduate’s salary reaches R59,300 ($8,035) a year or more. Payments must be made on a quarterly basis and sent directly to the NSFAS office (DHET 2011).</w:t>
      </w:r>
    </w:p>
    <w:p w:rsidR="006357C5" w:rsidRDefault="006357C5" w:rsidP="006357C5">
      <w:pPr>
        <w:pStyle w:val="NoSpacing"/>
        <w:spacing w:line="276" w:lineRule="auto"/>
        <w:jc w:val="both"/>
        <w:rPr>
          <w:rFonts w:ascii="Arial" w:hAnsi="Arial" w:cs="Arial"/>
        </w:rPr>
      </w:pPr>
    </w:p>
    <w:p w:rsidR="006357C5" w:rsidRDefault="006357C5" w:rsidP="006357C5">
      <w:pPr>
        <w:pStyle w:val="NoSpacing"/>
        <w:spacing w:line="276" w:lineRule="auto"/>
        <w:jc w:val="both"/>
        <w:rPr>
          <w:rFonts w:ascii="Arial" w:hAnsi="Arial" w:cs="Arial"/>
        </w:rPr>
      </w:pPr>
      <w:r w:rsidRPr="00DF0CD6">
        <w:rPr>
          <w:rFonts w:ascii="Arial" w:hAnsi="Arial" w:cs="Arial"/>
        </w:rPr>
        <w:t>Distinctive qualities aside, NSFAS loans are similar to most other student loans. They can be used at public colleges and universities for most education-related expenses including tuition fees, residence fees, registration fees, select outside accommodation, books, and equipment (if arrangements are made in advance with outside suppliers). NSFAS loans do not cover cancelled subjects, excursions or tours, interest on overdue loans, meals, financial deposits, subjects added to students’ registration at a later stage, traveling allowances, or uniforms (University of Johannesburg).</w:t>
      </w:r>
      <w:r w:rsidRPr="00DF0CD6">
        <w:rPr>
          <w:rStyle w:val="FootnoteReference"/>
          <w:rFonts w:ascii="Arial" w:hAnsi="Arial" w:cs="Arial"/>
        </w:rPr>
        <w:footnoteReference w:id="52"/>
      </w:r>
      <w:r w:rsidRPr="00DF0CD6">
        <w:rPr>
          <w:rFonts w:ascii="Arial" w:hAnsi="Arial" w:cs="Arial"/>
        </w:rPr>
        <w:t xml:space="preserve"> NSFAS loans are also never guaranteed. A student who meets </w:t>
      </w:r>
      <w:r w:rsidRPr="00DF0CD6">
        <w:rPr>
          <w:rFonts w:ascii="Arial" w:hAnsi="Arial" w:cs="Arial"/>
        </w:rPr>
        <w:lastRenderedPageBreak/>
        <w:t>all qualifying criteria may apply for a loan and not receive it, simply because the demand for loans far exceeds the supply. Even students who do receive a loan in one year are not guaranteed to receive it in the next (UFS).</w:t>
      </w:r>
    </w:p>
    <w:p w:rsidR="006357C5" w:rsidRDefault="006357C5" w:rsidP="006357C5">
      <w:pPr>
        <w:pStyle w:val="NoSpacing"/>
        <w:spacing w:line="276" w:lineRule="auto"/>
        <w:jc w:val="both"/>
        <w:rPr>
          <w:rFonts w:ascii="Arial" w:hAnsi="Arial" w:cs="Arial"/>
        </w:rPr>
      </w:pPr>
    </w:p>
    <w:p w:rsidR="006357C5" w:rsidRDefault="006357C5" w:rsidP="006357C5">
      <w:pPr>
        <w:pStyle w:val="NoSpacing"/>
        <w:spacing w:line="276" w:lineRule="auto"/>
        <w:jc w:val="both"/>
        <w:rPr>
          <w:rFonts w:ascii="Arial" w:hAnsi="Arial" w:cs="Arial"/>
        </w:rPr>
      </w:pPr>
      <w:r w:rsidRPr="00DF0CD6">
        <w:rPr>
          <w:rFonts w:ascii="Arial" w:hAnsi="Arial" w:cs="Arial"/>
        </w:rPr>
        <w:t xml:space="preserve">NSFAS loans are never given directly to students; rather, they are “administered by institutions and are a part of the financial aid package (FAP) awarded to students on the basis of annual gross family income” (Van Harte). In other words, NSFAS does not communicate directly with students. NSFAS gives a sum of money to universities that then allocate and distribute NSFAS loans among eligible students. </w:t>
      </w:r>
    </w:p>
    <w:p w:rsidR="006357C5" w:rsidRDefault="006357C5" w:rsidP="006357C5">
      <w:pPr>
        <w:pStyle w:val="NoSpacing"/>
        <w:spacing w:line="276" w:lineRule="auto"/>
        <w:jc w:val="both"/>
        <w:rPr>
          <w:rFonts w:ascii="Arial" w:hAnsi="Arial" w:cs="Arial"/>
        </w:rPr>
      </w:pPr>
    </w:p>
    <w:p w:rsidR="006357C5" w:rsidRDefault="006357C5" w:rsidP="006357C5">
      <w:pPr>
        <w:pStyle w:val="NoSpacing"/>
        <w:spacing w:line="276" w:lineRule="auto"/>
        <w:jc w:val="both"/>
        <w:rPr>
          <w:rFonts w:ascii="Arial" w:hAnsi="Arial" w:cs="Arial"/>
        </w:rPr>
      </w:pPr>
      <w:r w:rsidRPr="00DF0CD6">
        <w:rPr>
          <w:rFonts w:ascii="Arial" w:hAnsi="Arial" w:cs="Arial"/>
        </w:rPr>
        <w:t>To qualify for an NSFAS loan, a South African student must be able to demonstrate financial need and the potential for academic success. Financial need is demonstrated by proof of parents’ income. NSFAS funding is limited to students whose total family income is less than R122,000 ($16,531) per year (DHET 2011). Proof of potential for academic success is demonstrated by a student’s letter of acceptance from university and his or her Grade 12 certificate. Students must show additional medical evidence if they are disabled (Van Harte 2006).</w:t>
      </w:r>
      <w:r w:rsidRPr="00DF0CD6">
        <w:rPr>
          <w:rFonts w:ascii="Arial" w:hAnsi="Arial" w:cs="Arial"/>
          <w:vertAlign w:val="superscript"/>
        </w:rPr>
        <w:footnoteReference w:id="53"/>
      </w:r>
    </w:p>
    <w:p w:rsidR="006357C5" w:rsidRPr="00034AC3" w:rsidRDefault="006357C5" w:rsidP="006357C5">
      <w:pPr>
        <w:rPr>
          <w:b/>
        </w:rPr>
      </w:pPr>
      <w:r w:rsidRPr="00034AC3">
        <w:rPr>
          <w:b/>
        </w:rPr>
        <w:t>NSFAS loan repayment and recovery</w:t>
      </w:r>
    </w:p>
    <w:p w:rsidR="006357C5" w:rsidRPr="00DF0CD6" w:rsidRDefault="006357C5" w:rsidP="006357C5"/>
    <w:p w:rsidR="006357C5" w:rsidRPr="00DF0CD6" w:rsidRDefault="006357C5" w:rsidP="006357C5">
      <w:pPr>
        <w:pStyle w:val="NoSpacing"/>
        <w:spacing w:line="276" w:lineRule="auto"/>
        <w:jc w:val="both"/>
        <w:rPr>
          <w:rFonts w:ascii="Arial" w:hAnsi="Arial" w:cs="Arial"/>
        </w:rPr>
      </w:pPr>
      <w:r w:rsidRPr="00DF0CD6">
        <w:rPr>
          <w:rFonts w:ascii="Arial" w:hAnsi="Arial" w:cs="Arial"/>
        </w:rPr>
        <w:t>Student repayment rates are income-contingent, as mentioned in the earlier section. The interest rate on a NSFAS loan is calculated annually and is generally equal to South Africa’s annual rate of inflation plus another 2% (National Student Financial Aid Scheme [NSFAS]). Interest rates tend to fluctuate on a year to year basis, reaching a high of 10.4% in 2003 and dropping to a low of 5% in 2005.</w:t>
      </w:r>
    </w:p>
    <w:p w:rsidR="006357C5" w:rsidRPr="00DF0CD6" w:rsidRDefault="006357C5" w:rsidP="006357C5">
      <w:pPr>
        <w:pStyle w:val="NoSpacing"/>
        <w:spacing w:line="276" w:lineRule="auto"/>
        <w:jc w:val="both"/>
        <w:rPr>
          <w:rFonts w:ascii="Arial" w:hAnsi="Arial" w:cs="Arial"/>
        </w:rPr>
      </w:pPr>
    </w:p>
    <w:p w:rsidR="006357C5" w:rsidRPr="00DF0CD6" w:rsidRDefault="006357C5" w:rsidP="006357C5">
      <w:pPr>
        <w:pStyle w:val="NoSpacing"/>
        <w:spacing w:line="276" w:lineRule="auto"/>
        <w:jc w:val="both"/>
        <w:rPr>
          <w:rFonts w:ascii="Arial" w:hAnsi="Arial" w:cs="Arial"/>
        </w:rPr>
      </w:pPr>
      <w:r w:rsidRPr="00DF0CD6">
        <w:rPr>
          <w:rFonts w:ascii="Arial" w:hAnsi="Arial" w:cs="Arial"/>
        </w:rPr>
        <w:t>NSFAS is required to recover loans and uses several instruments not normally available to public or private entities to enable it to do so. These instruments include:</w:t>
      </w:r>
    </w:p>
    <w:p w:rsidR="006357C5" w:rsidRDefault="006357C5" w:rsidP="006357C5">
      <w:pPr>
        <w:pStyle w:val="NoSpacing"/>
        <w:spacing w:line="276" w:lineRule="auto"/>
        <w:ind w:left="1440"/>
        <w:jc w:val="both"/>
        <w:rPr>
          <w:rFonts w:ascii="Arial" w:hAnsi="Arial" w:cs="Arial"/>
        </w:rPr>
      </w:pPr>
    </w:p>
    <w:p w:rsidR="006357C5" w:rsidRDefault="006357C5" w:rsidP="006357C5">
      <w:pPr>
        <w:pStyle w:val="NoSpacing"/>
        <w:numPr>
          <w:ilvl w:val="1"/>
          <w:numId w:val="18"/>
        </w:numPr>
        <w:spacing w:line="276" w:lineRule="auto"/>
        <w:jc w:val="both"/>
        <w:rPr>
          <w:rFonts w:ascii="Arial" w:hAnsi="Arial" w:cs="Arial"/>
        </w:rPr>
      </w:pPr>
      <w:r w:rsidRPr="00DF0CD6">
        <w:rPr>
          <w:rFonts w:ascii="Arial" w:hAnsi="Arial" w:cs="Arial"/>
        </w:rPr>
        <w:t>Access to the databases of the South African Revenue Service (SARS) to establish the employment status and income level of borrowers and to trace borrowers.</w:t>
      </w:r>
    </w:p>
    <w:p w:rsidR="006357C5" w:rsidRDefault="006357C5" w:rsidP="006357C5">
      <w:pPr>
        <w:pStyle w:val="NoSpacing"/>
        <w:numPr>
          <w:ilvl w:val="1"/>
          <w:numId w:val="18"/>
        </w:numPr>
        <w:spacing w:line="276" w:lineRule="auto"/>
        <w:jc w:val="both"/>
        <w:rPr>
          <w:rFonts w:ascii="Arial" w:hAnsi="Arial" w:cs="Arial"/>
        </w:rPr>
      </w:pPr>
      <w:r w:rsidRPr="00DF0CD6">
        <w:rPr>
          <w:rFonts w:ascii="Arial" w:hAnsi="Arial" w:cs="Arial"/>
        </w:rPr>
        <w:t>A right to issue extra-judicial garnishee orders to the employers of borrowers to enforce deduction at source of repayment installments.</w:t>
      </w:r>
    </w:p>
    <w:p w:rsidR="006357C5" w:rsidRDefault="006357C5" w:rsidP="006357C5">
      <w:pPr>
        <w:pStyle w:val="NoSpacing"/>
        <w:numPr>
          <w:ilvl w:val="1"/>
          <w:numId w:val="18"/>
        </w:numPr>
        <w:spacing w:line="276" w:lineRule="auto"/>
        <w:jc w:val="both"/>
        <w:rPr>
          <w:rFonts w:ascii="Arial" w:hAnsi="Arial" w:cs="Arial"/>
        </w:rPr>
      </w:pPr>
      <w:r w:rsidRPr="00DF0CD6">
        <w:rPr>
          <w:rFonts w:ascii="Arial" w:hAnsi="Arial" w:cs="Arial"/>
        </w:rPr>
        <w:t>Blacklisting delinquent borrowers from credit bureaus so they cannot get loans anymore.</w:t>
      </w:r>
    </w:p>
    <w:p w:rsidR="006357C5" w:rsidRDefault="006357C5" w:rsidP="006357C5">
      <w:pPr>
        <w:pStyle w:val="NoSpacing"/>
        <w:spacing w:line="276" w:lineRule="auto"/>
        <w:jc w:val="center"/>
        <w:rPr>
          <w:rFonts w:ascii="Arial" w:hAnsi="Arial" w:cs="Arial"/>
          <w:b/>
        </w:rPr>
      </w:pPr>
    </w:p>
    <w:p w:rsidR="006357C5" w:rsidRDefault="006357C5" w:rsidP="006357C5">
      <w:pPr>
        <w:pStyle w:val="TableHeading"/>
      </w:pPr>
      <w:bookmarkStart w:id="131" w:name="_Toc328742924"/>
      <w:r w:rsidRPr="00DF0CD6">
        <w:t xml:space="preserve">Table </w:t>
      </w:r>
      <w:r>
        <w:t>78</w:t>
      </w:r>
      <w:r w:rsidRPr="00DF0CD6">
        <w:t>: NSFAS loan funding guidelines</w:t>
      </w:r>
      <w:bookmarkEnd w:id="131"/>
    </w:p>
    <w:p w:rsidR="006357C5" w:rsidRDefault="006357C5" w:rsidP="006357C5">
      <w:pPr>
        <w:pStyle w:val="NoSpacing"/>
        <w:spacing w:line="276" w:lineRule="auto"/>
        <w:jc w:val="center"/>
        <w:rPr>
          <w:rFonts w:ascii="Arial" w:hAnsi="Arial" w:cs="Arial"/>
          <w:b/>
        </w:rPr>
      </w:pPr>
    </w:p>
    <w:p w:rsidR="006357C5" w:rsidRDefault="006357C5" w:rsidP="006357C5">
      <w:pPr>
        <w:pStyle w:val="NoSpacing"/>
        <w:spacing w:line="276" w:lineRule="auto"/>
        <w:jc w:val="center"/>
        <w:rPr>
          <w:rFonts w:ascii="Arial" w:hAnsi="Arial" w:cs="Arial"/>
        </w:rPr>
      </w:pPr>
      <w:r>
        <w:rPr>
          <w:rFonts w:ascii="Arial" w:hAnsi="Arial" w:cs="Arial"/>
          <w:noProof/>
        </w:rPr>
        <w:lastRenderedPageBreak/>
        <w:drawing>
          <wp:inline distT="0" distB="0" distL="0" distR="0" wp14:anchorId="464B683F" wp14:editId="55EB2622">
            <wp:extent cx="4735830" cy="3407410"/>
            <wp:effectExtent l="19050" t="0" r="7620" b="0"/>
            <wp:docPr id="69" name="Imagen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3"/>
                    <a:srcRect/>
                    <a:stretch>
                      <a:fillRect/>
                    </a:stretch>
                  </pic:blipFill>
                  <pic:spPr bwMode="auto">
                    <a:xfrm>
                      <a:off x="0" y="0"/>
                      <a:ext cx="4735830" cy="3407410"/>
                    </a:xfrm>
                    <a:prstGeom prst="rect">
                      <a:avLst/>
                    </a:prstGeom>
                    <a:noFill/>
                    <a:ln w="9525">
                      <a:noFill/>
                      <a:miter lim="800000"/>
                      <a:headEnd/>
                      <a:tailEnd/>
                    </a:ln>
                  </pic:spPr>
                </pic:pic>
              </a:graphicData>
            </a:graphic>
          </wp:inline>
        </w:drawing>
      </w:r>
    </w:p>
    <w:p w:rsidR="006357C5" w:rsidRDefault="006357C5" w:rsidP="006357C5">
      <w:pPr>
        <w:ind w:left="990"/>
        <w:rPr>
          <w:sz w:val="18"/>
          <w:szCs w:val="18"/>
          <w:lang w:val="fr-HT"/>
        </w:rPr>
      </w:pPr>
      <w:r>
        <w:rPr>
          <w:sz w:val="20"/>
          <w:szCs w:val="20"/>
          <w:lang w:val="fr-HT"/>
        </w:rPr>
        <w:t xml:space="preserve"> </w:t>
      </w:r>
      <w:r w:rsidRPr="00FA063F">
        <w:rPr>
          <w:sz w:val="18"/>
          <w:u w:val="single"/>
          <w:lang w:val="fr-HT"/>
        </w:rPr>
        <w:t>Source:</w:t>
      </w:r>
      <w:r w:rsidRPr="002C0C9E">
        <w:rPr>
          <w:sz w:val="18"/>
          <w:szCs w:val="18"/>
          <w:lang w:val="fr-HT"/>
        </w:rPr>
        <w:t xml:space="preserve"> NSFAS </w:t>
      </w:r>
      <w:hyperlink r:id="rId24" w:history="1">
        <w:r w:rsidRPr="005B3CDD">
          <w:rPr>
            <w:rStyle w:val="Hyperlink"/>
            <w:rFonts w:cs="Arial"/>
            <w:sz w:val="18"/>
            <w:szCs w:val="18"/>
            <w:lang w:val="fr-HT"/>
          </w:rPr>
          <w:t>http://www.nsfas.org.za/profile-statistics.htm</w:t>
        </w:r>
      </w:hyperlink>
    </w:p>
    <w:p w:rsidR="006357C5" w:rsidRPr="002C0C9E" w:rsidRDefault="006357C5" w:rsidP="006357C5">
      <w:pPr>
        <w:rPr>
          <w:sz w:val="18"/>
          <w:szCs w:val="18"/>
          <w:lang w:val="fr-HT"/>
        </w:rPr>
      </w:pPr>
    </w:p>
    <w:p w:rsidR="006357C5" w:rsidRDefault="006357C5" w:rsidP="006357C5">
      <w:pPr>
        <w:pStyle w:val="NoSpacing"/>
        <w:spacing w:line="276" w:lineRule="auto"/>
        <w:jc w:val="both"/>
        <w:rPr>
          <w:rFonts w:ascii="Arial" w:hAnsi="Arial" w:cs="Arial"/>
        </w:rPr>
      </w:pPr>
      <w:r w:rsidRPr="00DF0CD6">
        <w:rPr>
          <w:rFonts w:ascii="Arial" w:hAnsi="Arial" w:cs="Arial"/>
        </w:rPr>
        <w:t>For all of its focus on loan recovery, NSFAS loan repayment rates are low. Though the agency recovers about R44 million ($6 million) a month now, it has only recovered R3.2 billion ($433.6 million) of the R12 billion ($1.6 billion) it has loaned out. This means that the NSFAS recovery rate is only 26%, which is the second lowest recovery rate for TEI student loan schemes in the world according to the Department of Higher Education (DHET 2011).</w:t>
      </w:r>
    </w:p>
    <w:p w:rsidR="006357C5" w:rsidRDefault="006357C5" w:rsidP="006357C5">
      <w:pPr>
        <w:pStyle w:val="NoSpacing"/>
        <w:spacing w:line="276" w:lineRule="auto"/>
        <w:jc w:val="both"/>
        <w:rPr>
          <w:rFonts w:ascii="Arial" w:hAnsi="Arial" w:cs="Arial"/>
        </w:rPr>
      </w:pPr>
    </w:p>
    <w:p w:rsidR="006357C5" w:rsidRPr="00034AC3" w:rsidRDefault="006357C5" w:rsidP="006357C5">
      <w:pPr>
        <w:rPr>
          <w:b/>
        </w:rPr>
      </w:pPr>
      <w:r w:rsidRPr="00034AC3">
        <w:rPr>
          <w:b/>
        </w:rPr>
        <w:t>D) Tensions in the System: recent reforms and prospects of reform in the mid term</w:t>
      </w:r>
    </w:p>
    <w:p w:rsidR="006357C5" w:rsidRPr="00DF0CD6" w:rsidRDefault="006357C5" w:rsidP="006357C5">
      <w:pPr>
        <w:rPr>
          <w:b/>
        </w:rPr>
      </w:pPr>
    </w:p>
    <w:p w:rsidR="006357C5" w:rsidRDefault="006357C5" w:rsidP="006357C5">
      <w:pPr>
        <w:pStyle w:val="NoSpacing"/>
        <w:spacing w:line="276" w:lineRule="auto"/>
        <w:jc w:val="both"/>
        <w:rPr>
          <w:rFonts w:ascii="Arial" w:hAnsi="Arial" w:cs="Arial"/>
        </w:rPr>
      </w:pPr>
      <w:r w:rsidRPr="00DF0CD6">
        <w:rPr>
          <w:rFonts w:ascii="Arial" w:hAnsi="Arial" w:cs="Arial"/>
        </w:rPr>
        <w:t>There are currently three major proposals for reform to the NSFAS system. The first proposal is for NSFAS to revise its loan recovery system. The second is to change NSFAS’s financial aid model. The final proposal is for the government to provide a cash-alternative method of paying back student loans. Each proposal is described in greater detail below.</w:t>
      </w:r>
      <w:r w:rsidRPr="00DF0CD6">
        <w:rPr>
          <w:rStyle w:val="FootnoteReference"/>
          <w:rFonts w:ascii="Arial" w:hAnsi="Arial" w:cs="Arial"/>
        </w:rPr>
        <w:footnoteReference w:id="54"/>
      </w:r>
    </w:p>
    <w:p w:rsidR="006357C5" w:rsidRPr="00DF0CD6" w:rsidRDefault="006357C5" w:rsidP="006357C5">
      <w:pPr>
        <w:pStyle w:val="NoSpacing"/>
        <w:spacing w:line="276" w:lineRule="auto"/>
        <w:jc w:val="both"/>
        <w:rPr>
          <w:rFonts w:ascii="Arial" w:hAnsi="Arial" w:cs="Arial"/>
        </w:rPr>
      </w:pPr>
    </w:p>
    <w:p w:rsidR="006357C5" w:rsidRPr="00034AC3" w:rsidRDefault="006357C5" w:rsidP="006357C5">
      <w:pPr>
        <w:rPr>
          <w:b/>
        </w:rPr>
      </w:pPr>
      <w:r w:rsidRPr="00034AC3">
        <w:rPr>
          <w:b/>
        </w:rPr>
        <w:t>Revising the Loan Recovery System</w:t>
      </w:r>
    </w:p>
    <w:p w:rsidR="006357C5" w:rsidRPr="00DF0CD6" w:rsidRDefault="006357C5" w:rsidP="006357C5"/>
    <w:p w:rsidR="006357C5" w:rsidRPr="00DF0CD6" w:rsidRDefault="006357C5" w:rsidP="006357C5">
      <w:pPr>
        <w:pStyle w:val="NoSpacing"/>
        <w:spacing w:line="276" w:lineRule="auto"/>
        <w:jc w:val="both"/>
        <w:rPr>
          <w:rFonts w:ascii="Arial" w:hAnsi="Arial" w:cs="Arial"/>
        </w:rPr>
      </w:pPr>
      <w:r w:rsidRPr="00DF0CD6">
        <w:rPr>
          <w:rFonts w:ascii="Arial" w:hAnsi="Arial" w:cs="Arial"/>
        </w:rPr>
        <w:t xml:space="preserve">A revised loan recovery system was proposed because a South African Review Committee recently discovered potentially serious legal and constitutional issues relating to the second instrument in NSFAS’s loan recovery process. The committee found extra-judicial garnishee orders to be legally questionable because they force employers to collect student loan repayments from employees’ salaries and pay them directly to the NSFAS without the consent </w:t>
      </w:r>
      <w:r w:rsidRPr="00DF0CD6">
        <w:rPr>
          <w:rFonts w:ascii="Arial" w:hAnsi="Arial" w:cs="Arial"/>
        </w:rPr>
        <w:lastRenderedPageBreak/>
        <w:t>of the employee. NSFAS has so far avoided having this practice tested in court by immediately dropping claims against debtors who threaten to sue in response.</w:t>
      </w:r>
    </w:p>
    <w:p w:rsidR="006357C5" w:rsidRPr="00DF0CD6" w:rsidRDefault="006357C5" w:rsidP="006357C5">
      <w:pPr>
        <w:pStyle w:val="NoSpacing"/>
        <w:spacing w:line="276" w:lineRule="auto"/>
        <w:jc w:val="both"/>
        <w:rPr>
          <w:rFonts w:ascii="Arial" w:hAnsi="Arial" w:cs="Arial"/>
        </w:rPr>
      </w:pPr>
    </w:p>
    <w:p w:rsidR="006357C5" w:rsidRPr="00DF0CD6" w:rsidRDefault="006357C5" w:rsidP="006357C5">
      <w:pPr>
        <w:pStyle w:val="NoSpacing"/>
        <w:spacing w:line="276" w:lineRule="auto"/>
        <w:jc w:val="both"/>
        <w:rPr>
          <w:rFonts w:ascii="Arial" w:hAnsi="Arial" w:cs="Arial"/>
        </w:rPr>
      </w:pPr>
      <w:r w:rsidRPr="00DF0CD6">
        <w:rPr>
          <w:rFonts w:ascii="Arial" w:hAnsi="Arial" w:cs="Arial"/>
        </w:rPr>
        <w:t xml:space="preserve">The last instrument used in conjunction with loan recovery, blacklisting, is also controversial. Blacklisting was initially removed from NSFAS’s practices 2007 and then reinstated in 2009. In 2009 approximately 10,000 debtors were blacklisted for predecessor loans that they had not paid off. Now, students are once again calling for blacklisting to be stopped. </w:t>
      </w:r>
    </w:p>
    <w:p w:rsidR="006357C5" w:rsidRPr="00DF0CD6" w:rsidRDefault="006357C5" w:rsidP="006357C5">
      <w:pPr>
        <w:pStyle w:val="NoSpacing"/>
        <w:spacing w:line="276" w:lineRule="auto"/>
        <w:jc w:val="both"/>
        <w:rPr>
          <w:rFonts w:ascii="Arial" w:hAnsi="Arial" w:cs="Arial"/>
        </w:rPr>
      </w:pPr>
    </w:p>
    <w:p w:rsidR="006357C5" w:rsidRDefault="006357C5" w:rsidP="006357C5">
      <w:pPr>
        <w:pStyle w:val="NoSpacing"/>
        <w:spacing w:line="276" w:lineRule="auto"/>
        <w:jc w:val="both"/>
        <w:rPr>
          <w:rFonts w:ascii="Arial" w:hAnsi="Arial" w:cs="Arial"/>
        </w:rPr>
      </w:pPr>
      <w:r w:rsidRPr="00DF0CD6">
        <w:rPr>
          <w:rFonts w:ascii="Arial" w:hAnsi="Arial" w:cs="Arial"/>
        </w:rPr>
        <w:t>South Africa is working to introduce a revised loan recovery scheme that is modeled on the Australian Higher Education Contribution Scheme. The South African version will collect financial aid debt directly through the country’s taxation system and would work as such:</w:t>
      </w:r>
    </w:p>
    <w:p w:rsidR="006357C5" w:rsidRDefault="006357C5" w:rsidP="006357C5">
      <w:pPr>
        <w:pStyle w:val="NoSpacing"/>
        <w:spacing w:line="276" w:lineRule="auto"/>
        <w:jc w:val="both"/>
        <w:rPr>
          <w:rFonts w:ascii="Arial" w:hAnsi="Arial" w:cs="Arial"/>
        </w:rPr>
      </w:pPr>
    </w:p>
    <w:p w:rsidR="006357C5" w:rsidRDefault="006357C5" w:rsidP="006357C5">
      <w:pPr>
        <w:pStyle w:val="NoSpacing"/>
        <w:numPr>
          <w:ilvl w:val="0"/>
          <w:numId w:val="19"/>
        </w:numPr>
        <w:spacing w:line="276" w:lineRule="auto"/>
        <w:jc w:val="both"/>
        <w:rPr>
          <w:rFonts w:ascii="Arial" w:hAnsi="Arial" w:cs="Arial"/>
        </w:rPr>
      </w:pPr>
      <w:r w:rsidRPr="00DF0CD6">
        <w:rPr>
          <w:rFonts w:ascii="Arial" w:hAnsi="Arial" w:cs="Arial"/>
        </w:rPr>
        <w:t>Students would apply for financial aid by registering as a taxpayer with the South African Revenue Service (SARS)</w:t>
      </w:r>
    </w:p>
    <w:p w:rsidR="006357C5" w:rsidRDefault="006357C5" w:rsidP="006357C5">
      <w:pPr>
        <w:pStyle w:val="NoSpacing"/>
        <w:numPr>
          <w:ilvl w:val="0"/>
          <w:numId w:val="19"/>
        </w:numPr>
        <w:spacing w:line="276" w:lineRule="auto"/>
        <w:jc w:val="both"/>
        <w:rPr>
          <w:rFonts w:ascii="Arial" w:hAnsi="Arial" w:cs="Arial"/>
        </w:rPr>
      </w:pPr>
      <w:r w:rsidRPr="00DF0CD6">
        <w:rPr>
          <w:rFonts w:ascii="Arial" w:hAnsi="Arial" w:cs="Arial"/>
        </w:rPr>
        <w:t>If a student qualifies for aid, payment would be made to the university on the student’s behalf and the amount would be debited to their tax account as tax to be paid in the future</w:t>
      </w:r>
    </w:p>
    <w:p w:rsidR="006357C5" w:rsidRDefault="006357C5" w:rsidP="006357C5">
      <w:pPr>
        <w:pStyle w:val="NoSpacing"/>
        <w:numPr>
          <w:ilvl w:val="0"/>
          <w:numId w:val="19"/>
        </w:numPr>
        <w:spacing w:line="276" w:lineRule="auto"/>
        <w:jc w:val="both"/>
        <w:rPr>
          <w:rFonts w:ascii="Arial" w:hAnsi="Arial" w:cs="Arial"/>
        </w:rPr>
      </w:pPr>
      <w:r w:rsidRPr="00DF0CD6">
        <w:rPr>
          <w:rFonts w:ascii="Arial" w:hAnsi="Arial" w:cs="Arial"/>
        </w:rPr>
        <w:t>After completing studies students start work and begin to pay as they earn (still income-contingent)</w:t>
      </w:r>
    </w:p>
    <w:p w:rsidR="006357C5" w:rsidRDefault="006357C5" w:rsidP="006357C5">
      <w:pPr>
        <w:pStyle w:val="NoSpacing"/>
        <w:numPr>
          <w:ilvl w:val="0"/>
          <w:numId w:val="19"/>
        </w:numPr>
        <w:spacing w:line="276" w:lineRule="auto"/>
        <w:jc w:val="both"/>
        <w:rPr>
          <w:rFonts w:ascii="Arial" w:hAnsi="Arial" w:cs="Arial"/>
        </w:rPr>
      </w:pPr>
      <w:r w:rsidRPr="00DF0CD6">
        <w:rPr>
          <w:rFonts w:ascii="Arial" w:hAnsi="Arial" w:cs="Arial"/>
        </w:rPr>
        <w:t>SARS would issue a tax direction of the employer requiring an additional tax to be charged and paid over by employee to settle his or her study debt. The additional tax would represent a surcharge (additional percentage) on tax due.</w:t>
      </w:r>
    </w:p>
    <w:p w:rsidR="006357C5" w:rsidRDefault="006357C5" w:rsidP="006357C5">
      <w:pPr>
        <w:pStyle w:val="NoSpacing"/>
        <w:spacing w:line="276" w:lineRule="auto"/>
        <w:ind w:left="720"/>
        <w:jc w:val="both"/>
        <w:rPr>
          <w:rFonts w:ascii="Arial" w:hAnsi="Arial" w:cs="Arial"/>
        </w:rPr>
      </w:pPr>
    </w:p>
    <w:p w:rsidR="006357C5" w:rsidRDefault="006357C5" w:rsidP="006357C5">
      <w:pPr>
        <w:pStyle w:val="NoSpacing"/>
        <w:spacing w:line="276" w:lineRule="auto"/>
        <w:jc w:val="both"/>
        <w:rPr>
          <w:rFonts w:ascii="Arial" w:hAnsi="Arial" w:cs="Arial"/>
        </w:rPr>
      </w:pPr>
      <w:r w:rsidRPr="00DF0CD6">
        <w:rPr>
          <w:rFonts w:ascii="Arial" w:hAnsi="Arial" w:cs="Arial"/>
        </w:rPr>
        <w:t>The main difference between the current South African scheme and the Australian-modeled one is that the latter would require students to consent to an employment tax as a prerequisite to receiving state funded student loans. This would avoid any complications that arise out of nonconsent (DHET).</w:t>
      </w:r>
    </w:p>
    <w:p w:rsidR="006357C5" w:rsidRDefault="006357C5" w:rsidP="006357C5">
      <w:pPr>
        <w:pStyle w:val="NoSpacing"/>
        <w:spacing w:line="276" w:lineRule="auto"/>
        <w:jc w:val="both"/>
        <w:rPr>
          <w:rFonts w:ascii="Arial" w:hAnsi="Arial" w:cs="Arial"/>
        </w:rPr>
      </w:pPr>
    </w:p>
    <w:p w:rsidR="006357C5" w:rsidRDefault="006357C5" w:rsidP="006357C5">
      <w:pPr>
        <w:pStyle w:val="NoSpacing"/>
        <w:spacing w:line="276" w:lineRule="auto"/>
        <w:jc w:val="both"/>
        <w:rPr>
          <w:rFonts w:ascii="Arial" w:hAnsi="Arial" w:cs="Arial"/>
        </w:rPr>
      </w:pPr>
    </w:p>
    <w:p w:rsidR="006357C5" w:rsidRPr="00034AC3" w:rsidRDefault="006357C5" w:rsidP="006357C5">
      <w:pPr>
        <w:rPr>
          <w:b/>
        </w:rPr>
      </w:pPr>
      <w:r w:rsidRPr="00034AC3">
        <w:rPr>
          <w:b/>
        </w:rPr>
        <w:t>Changing NSFAS’s financial aid model</w:t>
      </w:r>
    </w:p>
    <w:p w:rsidR="006357C5" w:rsidRPr="00DF0CD6" w:rsidRDefault="006357C5" w:rsidP="006357C5"/>
    <w:p w:rsidR="006357C5" w:rsidRPr="00DF0CD6" w:rsidRDefault="006357C5" w:rsidP="006357C5">
      <w:pPr>
        <w:pStyle w:val="NoSpacing"/>
        <w:spacing w:line="276" w:lineRule="auto"/>
        <w:jc w:val="both"/>
        <w:rPr>
          <w:rFonts w:ascii="Arial" w:hAnsi="Arial" w:cs="Arial"/>
        </w:rPr>
      </w:pPr>
      <w:r w:rsidRPr="00DF0CD6">
        <w:rPr>
          <w:rFonts w:ascii="Arial" w:hAnsi="Arial" w:cs="Arial"/>
        </w:rPr>
        <w:t>Needy students should ideally receive a NSFAS loan that covers all or nearly all of their education-related expenses. NSAF actually requires that each of its loans fall within a defined minimum and maximum value. In reality, loans are not always allocated the way they should be. Because NSFAS funding is so limited, several TEIs use income and academic merit only to define eligibility and then “allocate resources to students on an equitable basis, giving many students some funding rather than substantial funding to a few” (DHET 2011). Such practices leave many NSFAS dependent students struggling to cover their costs (IEASA 2011). In fact, “of the 67 percent of NSFAS students who are no longer studying, 28 percent have thus graduated and 72 percent have dropped out or have otherwise not completed their studies,” (DHET 2011).</w:t>
      </w:r>
    </w:p>
    <w:p w:rsidR="006357C5" w:rsidRPr="00DF0CD6" w:rsidRDefault="006357C5" w:rsidP="006357C5">
      <w:pPr>
        <w:pStyle w:val="NoSpacing"/>
        <w:spacing w:line="276" w:lineRule="auto"/>
        <w:jc w:val="both"/>
        <w:rPr>
          <w:rFonts w:ascii="Arial" w:hAnsi="Arial" w:cs="Arial"/>
        </w:rPr>
      </w:pPr>
    </w:p>
    <w:p w:rsidR="006357C5" w:rsidRPr="00DF0CD6" w:rsidRDefault="006357C5" w:rsidP="006357C5">
      <w:pPr>
        <w:pStyle w:val="NoSpacing"/>
        <w:spacing w:line="276" w:lineRule="auto"/>
        <w:jc w:val="both"/>
        <w:rPr>
          <w:rFonts w:ascii="Arial" w:hAnsi="Arial" w:cs="Arial"/>
        </w:rPr>
      </w:pPr>
      <w:r w:rsidRPr="00DF0CD6">
        <w:rPr>
          <w:rFonts w:ascii="Arial" w:hAnsi="Arial" w:cs="Arial"/>
        </w:rPr>
        <w:t xml:space="preserve">To remedy this problem, it has been suggested that South Africa create a new financial aid model that “progressively provides free higher education to undergraduate level for students </w:t>
      </w:r>
      <w:r w:rsidRPr="00DF0CD6">
        <w:rPr>
          <w:rFonts w:ascii="Arial" w:hAnsi="Arial" w:cs="Arial"/>
        </w:rPr>
        <w:lastRenderedPageBreak/>
        <w:t>from poor and working class communities. The model also provides student loans on favorable terms to higher education students from lower middle-income families” (DHET 2011).</w:t>
      </w:r>
    </w:p>
    <w:p w:rsidR="006357C5" w:rsidRPr="00DF0CD6" w:rsidRDefault="006357C5" w:rsidP="006357C5">
      <w:pPr>
        <w:pStyle w:val="NoSpacing"/>
        <w:spacing w:line="276" w:lineRule="auto"/>
        <w:jc w:val="both"/>
        <w:rPr>
          <w:rFonts w:ascii="Arial" w:hAnsi="Arial" w:cs="Arial"/>
        </w:rPr>
      </w:pPr>
    </w:p>
    <w:p w:rsidR="006357C5" w:rsidRDefault="006357C5" w:rsidP="006357C5">
      <w:pPr>
        <w:pStyle w:val="NoSpacing"/>
        <w:spacing w:line="276" w:lineRule="auto"/>
        <w:jc w:val="center"/>
        <w:rPr>
          <w:rFonts w:ascii="Arial" w:hAnsi="Arial" w:cs="Arial"/>
          <w:noProof/>
        </w:rPr>
      </w:pPr>
      <w:r>
        <w:rPr>
          <w:rFonts w:ascii="Arial" w:hAnsi="Arial" w:cs="Arial"/>
          <w:noProof/>
        </w:rPr>
        <w:drawing>
          <wp:inline distT="0" distB="0" distL="0" distR="0" wp14:anchorId="3922B9BF" wp14:editId="043CB499">
            <wp:extent cx="5098415" cy="2743200"/>
            <wp:effectExtent l="19050" t="0" r="6985" b="0"/>
            <wp:docPr id="70" name="Imagen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5"/>
                    <a:srcRect/>
                    <a:stretch>
                      <a:fillRect/>
                    </a:stretch>
                  </pic:blipFill>
                  <pic:spPr bwMode="auto">
                    <a:xfrm>
                      <a:off x="0" y="0"/>
                      <a:ext cx="5098415" cy="2743200"/>
                    </a:xfrm>
                    <a:prstGeom prst="rect">
                      <a:avLst/>
                    </a:prstGeom>
                    <a:noFill/>
                    <a:ln w="9525">
                      <a:noFill/>
                      <a:miter lim="800000"/>
                      <a:headEnd/>
                      <a:tailEnd/>
                    </a:ln>
                  </pic:spPr>
                </pic:pic>
              </a:graphicData>
            </a:graphic>
          </wp:inline>
        </w:drawing>
      </w:r>
    </w:p>
    <w:p w:rsidR="006357C5" w:rsidRDefault="006357C5" w:rsidP="006357C5">
      <w:pPr>
        <w:ind w:firstLine="630"/>
        <w:rPr>
          <w:noProof/>
          <w:sz w:val="18"/>
          <w:szCs w:val="18"/>
        </w:rPr>
      </w:pPr>
      <w:r w:rsidRPr="00FA063F">
        <w:rPr>
          <w:sz w:val="18"/>
          <w:u w:val="single"/>
        </w:rPr>
        <w:t>Source:</w:t>
      </w:r>
      <w:r w:rsidRPr="002C0C9E">
        <w:rPr>
          <w:noProof/>
          <w:sz w:val="18"/>
          <w:szCs w:val="18"/>
        </w:rPr>
        <w:t xml:space="preserve"> DHET</w:t>
      </w:r>
    </w:p>
    <w:p w:rsidR="006357C5" w:rsidRDefault="006357C5" w:rsidP="006357C5">
      <w:pPr>
        <w:ind w:firstLine="720"/>
        <w:rPr>
          <w:noProof/>
          <w:sz w:val="18"/>
          <w:szCs w:val="18"/>
        </w:rPr>
      </w:pPr>
    </w:p>
    <w:p w:rsidR="006357C5" w:rsidRDefault="006357C5" w:rsidP="006357C5">
      <w:pPr>
        <w:ind w:firstLine="720"/>
        <w:rPr>
          <w:noProof/>
          <w:sz w:val="18"/>
          <w:szCs w:val="18"/>
        </w:rPr>
      </w:pPr>
    </w:p>
    <w:p w:rsidR="006357C5" w:rsidRDefault="006357C5" w:rsidP="006357C5">
      <w:pPr>
        <w:ind w:firstLine="720"/>
        <w:rPr>
          <w:noProof/>
          <w:sz w:val="18"/>
          <w:szCs w:val="18"/>
        </w:rPr>
      </w:pPr>
    </w:p>
    <w:p w:rsidR="006357C5" w:rsidRDefault="006357C5" w:rsidP="006357C5">
      <w:pPr>
        <w:ind w:firstLine="720"/>
        <w:rPr>
          <w:noProof/>
          <w:sz w:val="18"/>
          <w:szCs w:val="18"/>
        </w:rPr>
      </w:pPr>
    </w:p>
    <w:p w:rsidR="006357C5" w:rsidRPr="002C0C9E" w:rsidRDefault="006357C5" w:rsidP="006357C5">
      <w:pPr>
        <w:ind w:firstLine="720"/>
        <w:rPr>
          <w:noProof/>
          <w:sz w:val="18"/>
          <w:szCs w:val="18"/>
        </w:rPr>
      </w:pPr>
    </w:p>
    <w:p w:rsidR="006357C5" w:rsidRPr="00034AC3" w:rsidRDefault="006357C5" w:rsidP="006357C5">
      <w:pPr>
        <w:rPr>
          <w:b/>
          <w:noProof/>
        </w:rPr>
      </w:pPr>
      <w:r w:rsidRPr="00034AC3">
        <w:rPr>
          <w:b/>
          <w:noProof/>
        </w:rPr>
        <w:t>Providing a cash-alternative method of paying back student loans</w:t>
      </w:r>
    </w:p>
    <w:p w:rsidR="006357C5" w:rsidRPr="00DF0CD6" w:rsidRDefault="006357C5" w:rsidP="006357C5"/>
    <w:p w:rsidR="006357C5" w:rsidRPr="00DF0CD6" w:rsidRDefault="006357C5" w:rsidP="006357C5">
      <w:pPr>
        <w:pStyle w:val="NoSpacing"/>
        <w:spacing w:line="276" w:lineRule="auto"/>
        <w:jc w:val="both"/>
        <w:rPr>
          <w:rFonts w:ascii="Arial" w:hAnsi="Arial" w:cs="Arial"/>
        </w:rPr>
      </w:pPr>
      <w:r w:rsidRPr="00DF0CD6">
        <w:rPr>
          <w:rFonts w:ascii="Arial" w:hAnsi="Arial" w:cs="Arial"/>
        </w:rPr>
        <w:t>Because NSFAS loans do not have any form of long term debt relief, i.e. loans are not forgiven after a certain number of years, members of South Africa’s cash strapped youth have suggested alternative ways to pay off debt. The Democratic Alliance Youth of South Africa in particular has proposed a cash-alternative model whereby “willing graduates can repay their loans through service to the state in a field related to their area of study on a year-for-year basis.” This means that a doctor could elect to pay off most of his or her six-year education expenses by volunteering to be a community doctor for six years. If he did not complete the six year stint, he would have to pay the remaining balance of his education expenses plus an extra penalty fee.</w:t>
      </w:r>
    </w:p>
    <w:p w:rsidR="006357C5" w:rsidRPr="00DF0CD6" w:rsidRDefault="006357C5" w:rsidP="006357C5"/>
    <w:p w:rsidR="006357C5" w:rsidRPr="00DF0CD6" w:rsidRDefault="006357C5" w:rsidP="006357C5">
      <w:r w:rsidRPr="00DF0CD6">
        <w:t>This proposal is in line with the terms of a higher education grant currently awarded by the Department of Agriculture, Fisheries, and Forestry. The department requires grant recipients to work for the same number of years that they received a grant in South Africa’s agricultural sector (DHET 2011).</w:t>
      </w:r>
    </w:p>
    <w:p w:rsidR="00D70B6E" w:rsidRDefault="00D70B6E"/>
    <w:sectPr w:rsidR="00D70B6E" w:rsidSect="00D70B6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3A6" w:rsidRDefault="003A63A6" w:rsidP="006357C5">
      <w:pPr>
        <w:spacing w:line="240" w:lineRule="auto"/>
      </w:pPr>
      <w:r>
        <w:separator/>
      </w:r>
    </w:p>
  </w:endnote>
  <w:endnote w:type="continuationSeparator" w:id="0">
    <w:p w:rsidR="003A63A6" w:rsidRDefault="003A63A6" w:rsidP="006357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ucida Grande">
    <w:charset w:val="00"/>
    <w:family w:val="auto"/>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7C5" w:rsidRPr="002A6344" w:rsidRDefault="006357C5">
    <w:pPr>
      <w:pStyle w:val="Footer"/>
      <w:jc w:val="right"/>
    </w:pPr>
    <w:r>
      <w:fldChar w:fldCharType="begin"/>
    </w:r>
    <w:r>
      <w:instrText xml:space="preserve"> PAGE   \* MERGEFORMAT </w:instrText>
    </w:r>
    <w:r>
      <w:fldChar w:fldCharType="separate"/>
    </w:r>
    <w:r w:rsidR="00DF074B">
      <w:rPr>
        <w:noProof/>
      </w:rPr>
      <w:t>2</w:t>
    </w:r>
    <w:r>
      <w:rPr>
        <w:noProof/>
      </w:rPr>
      <w:fldChar w:fldCharType="end"/>
    </w:r>
  </w:p>
  <w:p w:rsidR="006357C5" w:rsidRDefault="006357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3A6" w:rsidRDefault="003A63A6" w:rsidP="006357C5">
      <w:pPr>
        <w:spacing w:line="240" w:lineRule="auto"/>
      </w:pPr>
      <w:r>
        <w:separator/>
      </w:r>
    </w:p>
  </w:footnote>
  <w:footnote w:type="continuationSeparator" w:id="0">
    <w:p w:rsidR="003A63A6" w:rsidRDefault="003A63A6" w:rsidP="006357C5">
      <w:pPr>
        <w:spacing w:line="240" w:lineRule="auto"/>
      </w:pPr>
      <w:r>
        <w:continuationSeparator/>
      </w:r>
    </w:p>
  </w:footnote>
  <w:footnote w:id="1">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OECD 2010. Education at a Glance.</w:t>
      </w:r>
    </w:p>
  </w:footnote>
  <w:footnote w:id="2">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Ibid.</w:t>
      </w:r>
    </w:p>
  </w:footnote>
  <w:footnote w:id="3">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OECD 2010. Education at a Glance. Table B5.3.</w:t>
      </w:r>
    </w:p>
  </w:footnote>
  <w:footnote w:id="4">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Exceptions to this rule are made for some national priority disciplines.</w:t>
      </w:r>
    </w:p>
  </w:footnote>
  <w:footnote w:id="5">
    <w:p w:rsidR="006357C5" w:rsidRPr="002768DF" w:rsidRDefault="006357C5" w:rsidP="006357C5">
      <w:pPr>
        <w:spacing w:after="240"/>
        <w:jc w:val="both"/>
        <w:rPr>
          <w:sz w:val="18"/>
          <w:szCs w:val="18"/>
        </w:rPr>
      </w:pPr>
      <w:r w:rsidRPr="002768DF">
        <w:rPr>
          <w:sz w:val="18"/>
          <w:szCs w:val="18"/>
          <w:vertAlign w:val="superscript"/>
        </w:rPr>
        <w:footnoteRef/>
      </w:r>
      <w:r w:rsidRPr="002768DF">
        <w:rPr>
          <w:sz w:val="18"/>
          <w:szCs w:val="18"/>
        </w:rPr>
        <w:t xml:space="preserve"> Australia’s fastest growing online education service, owned by seven leading Australian universities.</w:t>
      </w:r>
    </w:p>
  </w:footnote>
  <w:footnote w:id="6">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The FEE-HELP lifetime loan limit in 2011 is AUS$86,422, and for medicine, dentistry and veterinary science courses of study, the limit is AUS$108,029.</w:t>
      </w:r>
    </w:p>
  </w:footnote>
  <w:footnote w:id="7">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The 2003 Higher Education Support Act establishes that the Commonwealth contribution amounts, the maximum student contribution amounts are to be indexed yearly on January 1. The indexation factor takes into account variation on the overall Consumer Price Index (25% weight) and on the Professional, Scientific and Technical Services Labor Price Index (75% weight). </w:t>
      </w:r>
    </w:p>
  </w:footnote>
  <w:footnote w:id="8">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Repayment income is calculated using the following amounts from the income tax return: taxable income, reportable fringe benefits, total net investment loss, reportable super contributions, and any exempt foreign employment income amounts.</w:t>
      </w:r>
    </w:p>
  </w:footnote>
  <w:footnote w:id="9">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OECD. Centre for Tax Policy and Administration. 2011. ‘Taxing Wages: Country note for New Zealand’. Available online at </w:t>
      </w:r>
      <w:hyperlink r:id="rId1" w:history="1">
        <w:r w:rsidRPr="002768DF">
          <w:rPr>
            <w:rStyle w:val="Hyperlink"/>
            <w:rFonts w:ascii="Arial" w:hAnsi="Arial" w:cs="Arial"/>
            <w:sz w:val="18"/>
            <w:szCs w:val="18"/>
          </w:rPr>
          <w:t>http://www.oecd.org/document/29/0,3746,en_33873108_33873658_45147741_1_1_1_1,00.html</w:t>
        </w:r>
      </w:hyperlink>
      <w:r w:rsidRPr="002768DF">
        <w:rPr>
          <w:rFonts w:ascii="Arial" w:hAnsi="Arial" w:cs="Arial"/>
          <w:sz w:val="18"/>
          <w:szCs w:val="18"/>
        </w:rPr>
        <w:t xml:space="preserve"> (last accessed December 20, 2011). </w:t>
      </w:r>
    </w:p>
  </w:footnote>
  <w:footnote w:id="10">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w:t>
      </w:r>
      <w:hyperlink r:id="rId2" w:history="1">
        <w:r w:rsidRPr="002768DF">
          <w:rPr>
            <w:rStyle w:val="Hyperlink"/>
            <w:rFonts w:ascii="Arial" w:hAnsi="Arial" w:cs="Arial"/>
            <w:sz w:val="18"/>
            <w:szCs w:val="18"/>
          </w:rPr>
          <w:t>www.oag.govt.nz</w:t>
        </w:r>
      </w:hyperlink>
      <w:r w:rsidRPr="002768DF">
        <w:rPr>
          <w:rFonts w:ascii="Arial" w:hAnsi="Arial" w:cs="Arial"/>
          <w:sz w:val="18"/>
          <w:szCs w:val="18"/>
        </w:rPr>
        <w:t xml:space="preserve"> </w:t>
      </w:r>
    </w:p>
  </w:footnote>
  <w:footnote w:id="11">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Note that postgraduate masters’ degrees and courses not approved for Student Achievement Component funding are not covered by the policy. Also, the policy does not cover foreign students’ fee/course costs; although it does apply to international PhD students enrolled as domestic students.</w:t>
      </w:r>
    </w:p>
  </w:footnote>
  <w:footnote w:id="12">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Section 321 of New Zealand’s Education Act </w:t>
      </w:r>
      <w:r w:rsidRPr="002768DF">
        <w:rPr>
          <w:rFonts w:ascii="Arial" w:hAnsi="Arial" w:cs="Arial"/>
          <w:sz w:val="18"/>
          <w:szCs w:val="18"/>
          <w:lang w:val="en-NZ"/>
        </w:rPr>
        <w:t>establishes that “an educational body may be paid grants out of public money appropriated by Parliament for the purpose on such conditions as the Minister thinks fit [for the national interest].”</w:t>
      </w:r>
    </w:p>
  </w:footnote>
  <w:footnote w:id="13">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This figure includes Student Achievement Component funding and the Tertiary Education Organization Component funding, along with adult and community education.</w:t>
      </w:r>
    </w:p>
  </w:footnote>
  <w:footnote w:id="14">
    <w:p w:rsidR="006357C5" w:rsidRPr="002768DF" w:rsidRDefault="006357C5" w:rsidP="006357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jc w:val="both"/>
        <w:rPr>
          <w:sz w:val="18"/>
          <w:szCs w:val="18"/>
        </w:rPr>
      </w:pPr>
      <w:r w:rsidRPr="002768DF">
        <w:rPr>
          <w:rStyle w:val="FootnoteReference"/>
          <w:rFonts w:cs="Arial"/>
          <w:sz w:val="18"/>
          <w:szCs w:val="18"/>
        </w:rPr>
        <w:footnoteRef/>
      </w:r>
      <w:r w:rsidRPr="002768DF">
        <w:rPr>
          <w:sz w:val="18"/>
          <w:szCs w:val="18"/>
        </w:rPr>
        <w:t xml:space="preserve"> </w:t>
      </w:r>
      <w:r w:rsidRPr="002768DF">
        <w:rPr>
          <w:bCs/>
          <w:sz w:val="18"/>
          <w:szCs w:val="18"/>
        </w:rPr>
        <w:t>Note that these are 2010 figures.</w:t>
      </w:r>
    </w:p>
  </w:footnote>
  <w:footnote w:id="15">
    <w:p w:rsidR="006357C5" w:rsidRPr="002768DF" w:rsidRDefault="006357C5" w:rsidP="006357C5">
      <w:pPr>
        <w:widowControl w:val="0"/>
        <w:autoSpaceDE w:val="0"/>
        <w:autoSpaceDN w:val="0"/>
        <w:adjustRightInd w:val="0"/>
        <w:spacing w:after="240"/>
        <w:jc w:val="both"/>
        <w:rPr>
          <w:sz w:val="18"/>
          <w:szCs w:val="18"/>
        </w:rPr>
      </w:pPr>
      <w:r w:rsidRPr="002768DF">
        <w:rPr>
          <w:rStyle w:val="FootnoteReference"/>
          <w:rFonts w:cs="Arial"/>
          <w:sz w:val="18"/>
          <w:szCs w:val="18"/>
        </w:rPr>
        <w:footnoteRef/>
      </w:r>
      <w:r w:rsidRPr="002768DF">
        <w:rPr>
          <w:sz w:val="18"/>
          <w:szCs w:val="18"/>
        </w:rPr>
        <w:t xml:space="preserve"> “The Tertiary Education Commission decides if a course is either full-time or part-time by applying what's called an EFTS value to each course. The EFTS value is a measure of the amount of study or the workload involved in undertaking a course. A year of full-time study is usually between 0.8 EFTS and 1.2 EFTS.” http://www.studylink.govt.nz</w:t>
      </w:r>
    </w:p>
  </w:footnote>
  <w:footnote w:id="16">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w:t>
      </w:r>
      <w:hyperlink r:id="rId3" w:history="1">
        <w:r w:rsidRPr="002768DF">
          <w:rPr>
            <w:rStyle w:val="Hyperlink"/>
            <w:rFonts w:ascii="Arial" w:hAnsi="Arial" w:cs="Arial"/>
            <w:sz w:val="18"/>
            <w:szCs w:val="18"/>
          </w:rPr>
          <w:t>http://www.tec.govt.nz</w:t>
        </w:r>
      </w:hyperlink>
      <w:r w:rsidRPr="002768DF">
        <w:rPr>
          <w:rFonts w:ascii="Arial" w:hAnsi="Arial" w:cs="Arial"/>
          <w:sz w:val="18"/>
          <w:szCs w:val="18"/>
        </w:rPr>
        <w:t xml:space="preserve"> </w:t>
      </w:r>
    </w:p>
  </w:footnote>
  <w:footnote w:id="17">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All these are OECD Stats figures (</w:t>
      </w:r>
      <w:hyperlink r:id="rId4" w:history="1">
        <w:r w:rsidRPr="002768DF">
          <w:rPr>
            <w:rStyle w:val="Hyperlink"/>
            <w:rFonts w:ascii="Arial" w:hAnsi="Arial" w:cs="Arial"/>
            <w:sz w:val="18"/>
            <w:szCs w:val="18"/>
          </w:rPr>
          <w:t>http://stats.oecd.org</w:t>
        </w:r>
      </w:hyperlink>
      <w:r w:rsidRPr="002768DF">
        <w:rPr>
          <w:rFonts w:ascii="Arial" w:hAnsi="Arial" w:cs="Arial"/>
          <w:sz w:val="18"/>
          <w:szCs w:val="18"/>
        </w:rPr>
        <w:t xml:space="preserve">) for the most recent year with available data. For a comparative table see Annex 3. </w:t>
      </w:r>
    </w:p>
  </w:footnote>
  <w:footnote w:id="18">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This Section draws largely on HECFE (2010). </w:t>
      </w:r>
    </w:p>
  </w:footnote>
  <w:footnote w:id="19">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w:t>
      </w:r>
      <w:r w:rsidRPr="002768DF">
        <w:rPr>
          <w:rFonts w:ascii="Arial" w:hAnsi="Arial" w:cs="Arial"/>
          <w:bCs/>
          <w:sz w:val="18"/>
          <w:szCs w:val="18"/>
        </w:rPr>
        <w:t>Measures of cost: HEFCE</w:t>
      </w:r>
      <w:r w:rsidRPr="002768DF">
        <w:rPr>
          <w:rFonts w:ascii="Arial" w:hAnsi="Arial" w:cs="Arial"/>
          <w:sz w:val="18"/>
          <w:szCs w:val="18"/>
        </w:rPr>
        <w:t xml:space="preserve"> periodically reviews information about the relative costs of different types of activity. These reviews are informed by data provided by higher education institutions on their expenditure in academic departments, or on the full economic costs of their teaching. Separate studies to cost particular aspects of provision, such as the additional costs for institutions of their activities to widen participation are also commissioned. For teaching, the Government expects that the beneficiaries of higher education – students themselves and, increasingly, employers – should also contribute. To make the best use of the taxpayers’ money that HEFCE distributes, assumptions about the contributions from these other sources are made. These assumptions are generally at sector-average rates. This ensures that funding is prioritized to those areas where it is most needed, while not disadvantaging those institutions that are able to charge higher fees than the sector average, nor subsidizing those that might seek a competitive advantage by charging lower fees.</w:t>
      </w:r>
    </w:p>
  </w:footnote>
  <w:footnote w:id="20">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Teaching activity is measured as weighted student numbers, which is later subjected to a number of adjusting parameters that follow matters like London location, cost of teaching a specific subject, or completion rates. </w:t>
      </w:r>
    </w:p>
  </w:footnote>
  <w:footnote w:id="21">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w:t>
      </w:r>
      <w:r w:rsidRPr="002768DF">
        <w:rPr>
          <w:rFonts w:ascii="Arial" w:hAnsi="Arial" w:cs="Arial"/>
          <w:iCs/>
          <w:sz w:val="18"/>
          <w:szCs w:val="18"/>
        </w:rPr>
        <w:t>Average expected fees are estimated at £8,393.</w:t>
      </w:r>
    </w:p>
  </w:footnote>
  <w:footnote w:id="22">
    <w:p w:rsidR="006357C5" w:rsidRPr="002768DF" w:rsidRDefault="006357C5" w:rsidP="006357C5">
      <w:pPr>
        <w:spacing w:after="240"/>
        <w:jc w:val="both"/>
        <w:rPr>
          <w:sz w:val="18"/>
          <w:szCs w:val="18"/>
        </w:rPr>
      </w:pPr>
      <w:r w:rsidRPr="002768DF">
        <w:rPr>
          <w:rStyle w:val="FootnoteReference"/>
          <w:rFonts w:cs="Arial"/>
          <w:sz w:val="18"/>
          <w:szCs w:val="18"/>
        </w:rPr>
        <w:footnoteRef/>
      </w:r>
      <w:r w:rsidRPr="002768DF">
        <w:rPr>
          <w:sz w:val="18"/>
          <w:szCs w:val="18"/>
        </w:rPr>
        <w:t xml:space="preserve">  </w:t>
      </w:r>
      <w:r w:rsidRPr="002768DF">
        <w:rPr>
          <w:i/>
          <w:color w:val="000000"/>
          <w:sz w:val="18"/>
          <w:szCs w:val="18"/>
          <w:shd w:val="clear" w:color="auto" w:fill="FFFFFF"/>
        </w:rPr>
        <w:t xml:space="preserve">Bursaries </w:t>
      </w:r>
      <w:r w:rsidRPr="002768DF">
        <w:rPr>
          <w:color w:val="000000"/>
          <w:sz w:val="18"/>
          <w:szCs w:val="18"/>
          <w:shd w:val="clear" w:color="auto" w:fill="FFFFFF"/>
        </w:rPr>
        <w:t xml:space="preserve">are mean tested forms of financial aid. For students getting the full Maintenance Grant or Special Support Grant and paying the maximum tuition fee, their university or college has to offer them a minimum bursary of £329 in 2010/11 and £338 in 2011/12. </w:t>
      </w:r>
      <w:r w:rsidRPr="002768DF">
        <w:rPr>
          <w:i/>
          <w:color w:val="000000"/>
          <w:sz w:val="18"/>
          <w:szCs w:val="18"/>
          <w:shd w:val="clear" w:color="auto" w:fill="FFFFFF"/>
        </w:rPr>
        <w:t>Scholarships</w:t>
      </w:r>
      <w:r w:rsidRPr="002768DF">
        <w:rPr>
          <w:color w:val="000000"/>
          <w:sz w:val="18"/>
          <w:szCs w:val="18"/>
          <w:shd w:val="clear" w:color="auto" w:fill="FFFFFF"/>
        </w:rPr>
        <w:t xml:space="preserve"> are awarded if a student meets the conditions set by the university or college, which can refer to academic ability, home situation or subject of study. Bursaries and scholarships can be paid in cash or in another form - such as a discount on accommodation or books.</w:t>
      </w:r>
    </w:p>
  </w:footnote>
  <w:footnote w:id="23">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Similar agencies exist for Wales, Scotland and Northern Ireland.</w:t>
      </w:r>
    </w:p>
  </w:footnote>
  <w:footnote w:id="24">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This threshold has recently been reformed from a previous, lower one of £15,000. However, the repayment period after which any outstanding debt is forgiven has been extended from 25 to 30 years.</w:t>
      </w:r>
    </w:p>
  </w:footnote>
  <w:footnote w:id="25">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These reforms affect only England and Wales. Following devolution, Scotland has its own university financing system, which currently is free of cost for Scottish and EU students, but not for non-Scottish UK students.  </w:t>
      </w:r>
    </w:p>
  </w:footnote>
  <w:footnote w:id="26">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On the issue of interest rate subsidies, see Barr and Johnston (2010). In an empirically and theoretically robust paper, they argue that in order to make a student loan program efficient both in fiscal and policy terms, the interest rate must be based on the government’s cost of borrowing, with subsidies that target low-income graduates specifically. In their words, a subsidized interest rate is “enormously expensive” and “deeply regressive”. </w:t>
      </w:r>
    </w:p>
  </w:footnote>
  <w:footnote w:id="27">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This will be effective for those starting university studies in September 2012 and later. </w:t>
      </w:r>
    </w:p>
  </w:footnote>
  <w:footnote w:id="28">
    <w:p w:rsidR="006357C5" w:rsidRPr="002768DF" w:rsidRDefault="006357C5" w:rsidP="006357C5">
      <w:pPr>
        <w:pStyle w:val="FootnoteText"/>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The Consultations were issued between June and August and closed between September and October. The Department for Business, Innovation and Skills is to publish its response.  </w:t>
      </w:r>
    </w:p>
  </w:footnote>
  <w:footnote w:id="29">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Central Intelligence Agency. </w:t>
      </w:r>
      <w:r w:rsidRPr="002768DF">
        <w:rPr>
          <w:rFonts w:ascii="Arial" w:hAnsi="Arial" w:cs="Arial"/>
          <w:i/>
          <w:sz w:val="18"/>
          <w:szCs w:val="18"/>
        </w:rPr>
        <w:t>The World Factbook</w:t>
      </w:r>
      <w:r w:rsidRPr="002768DF">
        <w:rPr>
          <w:rFonts w:ascii="Arial" w:hAnsi="Arial" w:cs="Arial"/>
          <w:sz w:val="18"/>
          <w:szCs w:val="18"/>
        </w:rPr>
        <w:t>. Last updated 10 November 2011.</w:t>
      </w:r>
    </w:p>
  </w:footnote>
  <w:footnote w:id="30">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Originated in the Sorbonne Joint Declaration on Harmonization of the Architecture of the European Higher Education System, signed in 1998, the Bologna Process seeks to provide a common tertiary education framework for Europe. Under this framework, a standard system of bachelor, masters and doctorate programs of uniform duration are offered across the region to facilitate data comparison and student mobility. Currently, baccalaureate programs last three years and masters programs last two years (PhD programs vary in length). Hungary’s first set of bachelor laureates graduated in 2009.</w:t>
      </w:r>
    </w:p>
  </w:footnote>
  <w:footnote w:id="31">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Euroguidance Hungary 2011</w:t>
      </w:r>
    </w:p>
  </w:footnote>
  <w:footnote w:id="32">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OECD Economic Survey Hungary 2010</w:t>
      </w:r>
    </w:p>
  </w:footnote>
  <w:footnote w:id="33">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The matura is an exam that secondary school students in Hungary must take before graduation</w:t>
      </w:r>
    </w:p>
  </w:footnote>
  <w:footnote w:id="34">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Singh and Marcucci, 2008. In Hungary, “tuition contribution” refers to fees associated to some courses (e.g. some foreign language courses), and is charged separately from the tuition fee</w:t>
      </w:r>
    </w:p>
  </w:footnote>
  <w:footnote w:id="35">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OECD Education at a Glance 2011.</w:t>
      </w:r>
    </w:p>
  </w:footnote>
  <w:footnote w:id="36">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www.diakhitel.hu</w:t>
      </w:r>
    </w:p>
  </w:footnote>
  <w:footnote w:id="37">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In Hungary, the Student Loan Center receives resources from the capital market under an explicit, liability-side guarantee. In practice, the Student Loan Center can recover the loss from a borrower’s default through repayments of other borrowers, using the State guarantee only in unlikely situations such as default by the entire borrower community. The Hungarian State assumes joint and several guarantee for the securities issued by the Student Loan Center. (See www.diakhitel.hu and Edina Berlinger. An Efficient Student Loan System: Case Study of Hungary. 2009).</w:t>
      </w:r>
    </w:p>
  </w:footnote>
  <w:footnote w:id="38">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www.diakhitel.hu. Note that only self-financed students or state-financed students whose parents died or are unemployed may apply to loan amounts of HUF 50,000 ($231 USD) per month for a maximum of two semesters. Self-financed students whose parents died or are unemployed may request HUF 60,000 ($278 USD) per month for a maximum of two semesters.</w:t>
      </w:r>
    </w:p>
  </w:footnote>
  <w:footnote w:id="39">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www.diakhitel.hu</w:t>
      </w:r>
    </w:p>
  </w:footnote>
  <w:footnote w:id="40">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Student Loan Center Annual Report 2010.</w:t>
      </w:r>
    </w:p>
  </w:footnote>
  <w:footnote w:id="41">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Student Loan Center Annual Report 2010. There is conflicting information regarding repayment rates in Hungary. For example, Edina Berlinger reports in “An Efficient Student Loan System: Case Study of Hungary” (2009) that as of 2009, more than 98 percent of the scheduled repayment cash flows had been collected.</w:t>
      </w:r>
    </w:p>
  </w:footnote>
  <w:footnote w:id="42">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Singh and Marcucci,  2008.</w:t>
      </w:r>
    </w:p>
  </w:footnote>
  <w:footnote w:id="43">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IMF Country Report No. 11/137. June 2011.</w:t>
      </w:r>
    </w:p>
  </w:footnote>
  <w:footnote w:id="44">
    <w:p w:rsidR="006357C5" w:rsidRPr="002768DF" w:rsidRDefault="006357C5" w:rsidP="006357C5">
      <w:pPr>
        <w:pStyle w:val="FootnoteText"/>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OECD Education Survey Hungary 2010.</w:t>
      </w:r>
    </w:p>
  </w:footnote>
  <w:footnote w:id="45">
    <w:p w:rsidR="006357C5" w:rsidRPr="002768DF" w:rsidRDefault="006357C5" w:rsidP="006357C5">
      <w:pPr>
        <w:pStyle w:val="NoSpacing"/>
        <w:spacing w:after="240" w:line="276" w:lineRule="auto"/>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Taken from the University of Cape Town fee handbook. </w:t>
      </w:r>
      <w:hyperlink r:id="rId5" w:history="1">
        <w:r w:rsidRPr="002768DF">
          <w:rPr>
            <w:rStyle w:val="Hyperlink"/>
            <w:rFonts w:ascii="Arial" w:hAnsi="Arial" w:cs="Arial"/>
            <w:sz w:val="18"/>
            <w:szCs w:val="18"/>
          </w:rPr>
          <w:t>http://www.uct.ac.za/usr/finance/fees/fees2012.pdf</w:t>
        </w:r>
      </w:hyperlink>
      <w:r w:rsidRPr="002768DF">
        <w:rPr>
          <w:rFonts w:ascii="Arial" w:hAnsi="Arial" w:cs="Arial"/>
          <w:sz w:val="18"/>
          <w:szCs w:val="18"/>
        </w:rPr>
        <w:t xml:space="preserve"> and the University of Pretoria’s 2011 tuition fee estimations </w:t>
      </w:r>
      <w:hyperlink r:id="rId6" w:history="1">
        <w:r w:rsidRPr="002768DF">
          <w:rPr>
            <w:rStyle w:val="Hyperlink"/>
            <w:rFonts w:ascii="Arial" w:hAnsi="Arial" w:cs="Arial"/>
            <w:sz w:val="18"/>
            <w:szCs w:val="18"/>
          </w:rPr>
          <w:t>http://web.up.ac.za/sitefiles/file/Fees-2011/estimated_tuition_fees_for_2011.pdf</w:t>
        </w:r>
      </w:hyperlink>
    </w:p>
  </w:footnote>
  <w:footnote w:id="46">
    <w:p w:rsidR="006357C5" w:rsidRPr="002768DF" w:rsidRDefault="006357C5" w:rsidP="006357C5">
      <w:pPr>
        <w:pStyle w:val="NoSpacing"/>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If graduation rates are 16%, one would expect the dropout rate to be 84%, far higher than the stated 45%.</w:t>
      </w:r>
    </w:p>
  </w:footnote>
  <w:footnote w:id="47">
    <w:p w:rsidR="006357C5" w:rsidRPr="002768DF" w:rsidRDefault="006357C5" w:rsidP="006357C5">
      <w:pPr>
        <w:pStyle w:val="NoSpacing"/>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For a more detailed understanding of the South African higher education funding formula, please visit http://www.education.gov.za/LinkClick.aspx?fileticket=fcXw4P4qxAk%3D&amp;tabid=452&amp;mid=1037 and</w:t>
      </w:r>
    </w:p>
    <w:p w:rsidR="006357C5" w:rsidRPr="002768DF" w:rsidRDefault="006357C5" w:rsidP="006357C5">
      <w:pPr>
        <w:pStyle w:val="NoSpacing"/>
        <w:spacing w:after="240" w:line="276" w:lineRule="auto"/>
        <w:jc w:val="both"/>
        <w:rPr>
          <w:rFonts w:ascii="Arial" w:hAnsi="Arial" w:cs="Arial"/>
          <w:sz w:val="18"/>
          <w:szCs w:val="18"/>
        </w:rPr>
      </w:pPr>
      <w:r w:rsidRPr="002768DF">
        <w:rPr>
          <w:rFonts w:ascii="Arial" w:hAnsi="Arial" w:cs="Arial"/>
          <w:sz w:val="18"/>
          <w:szCs w:val="18"/>
        </w:rPr>
        <w:t>http://www.ru.ac.za/media/rhodesuniversity/content/documents/research/Accredited%20Outputs.pdf</w:t>
      </w:r>
    </w:p>
  </w:footnote>
  <w:footnote w:id="48">
    <w:p w:rsidR="006357C5" w:rsidRPr="002768DF" w:rsidRDefault="006357C5" w:rsidP="006357C5">
      <w:pPr>
        <w:pStyle w:val="NoSpacing"/>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Averages are determined by taking the university total and dividing it by the number of students; ex: average tuition = (total university revenue from tuition/number of students) (Council on Higher Education [CHE]).</w:t>
      </w:r>
    </w:p>
  </w:footnote>
  <w:footnote w:id="49">
    <w:p w:rsidR="006357C5" w:rsidRPr="002768DF" w:rsidRDefault="006357C5" w:rsidP="006357C5">
      <w:pPr>
        <w:pStyle w:val="NoSpacing"/>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Race is incorporated into the funding formula by using the disadvantaged student index (DSI); DSI = (number of African students x 3) + (number of Coloured students x 2) + (number of Indian students x 1). This assumes that all non-white populations are disadvantaged, but also that some populations are more disadvantaged than others (CHE).</w:t>
      </w:r>
    </w:p>
  </w:footnote>
  <w:footnote w:id="50">
    <w:p w:rsidR="006357C5" w:rsidRPr="002768DF" w:rsidRDefault="006357C5" w:rsidP="006357C5">
      <w:pPr>
        <w:pStyle w:val="NoSpacing"/>
        <w:spacing w:after="240" w:line="276" w:lineRule="auto"/>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See the University of the Free State’s NSFAS loan guidelines </w:t>
      </w:r>
      <w:hyperlink r:id="rId7" w:history="1">
        <w:r w:rsidRPr="002768DF">
          <w:rPr>
            <w:rStyle w:val="Hyperlink"/>
            <w:rFonts w:ascii="Arial" w:hAnsi="Arial" w:cs="Arial"/>
            <w:sz w:val="18"/>
            <w:szCs w:val="18"/>
          </w:rPr>
          <w:t>http://studentportal.ufs.ac.za/documents/13/financial_aid/2012_Nsfas_Loans_Important_Information.pdf</w:t>
        </w:r>
      </w:hyperlink>
    </w:p>
  </w:footnote>
  <w:footnote w:id="51">
    <w:p w:rsidR="006357C5" w:rsidRPr="002768DF" w:rsidRDefault="006357C5" w:rsidP="006357C5">
      <w:pPr>
        <w:pStyle w:val="NoSpacing"/>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To claim unemployment, students must provide the NSFAS head office with an affidavit of written proof that is held for three months.</w:t>
      </w:r>
    </w:p>
  </w:footnote>
  <w:footnote w:id="52">
    <w:p w:rsidR="006357C5" w:rsidRPr="002768DF" w:rsidRDefault="006357C5" w:rsidP="006357C5">
      <w:pPr>
        <w:pStyle w:val="NoSpacing"/>
        <w:spacing w:after="240" w:line="276" w:lineRule="auto"/>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See the University of Johannesburg’s NSFAS loan guidelines </w:t>
      </w:r>
      <w:hyperlink r:id="rId8" w:history="1">
        <w:r w:rsidRPr="002768DF">
          <w:rPr>
            <w:rStyle w:val="Hyperlink"/>
            <w:rFonts w:ascii="Arial" w:hAnsi="Arial" w:cs="Arial"/>
            <w:sz w:val="18"/>
            <w:szCs w:val="18"/>
          </w:rPr>
          <w:t>http://www.uj.ac.za/EN/StudyatUJ/StudentFinance/NationalFinancialAidScheme/Documents/NSFAS%20Rules.pdf</w:t>
        </w:r>
      </w:hyperlink>
    </w:p>
  </w:footnote>
  <w:footnote w:id="53">
    <w:p w:rsidR="006357C5" w:rsidRPr="002768DF" w:rsidRDefault="006357C5" w:rsidP="006357C5">
      <w:pPr>
        <w:pStyle w:val="NoSpacing"/>
        <w:spacing w:after="240" w:line="276" w:lineRule="auto"/>
        <w:jc w:val="both"/>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w:t>
      </w:r>
      <w:hyperlink r:id="rId9" w:history="1">
        <w:r w:rsidRPr="002768DF">
          <w:rPr>
            <w:rStyle w:val="Hyperlink"/>
            <w:rFonts w:ascii="Arial" w:hAnsi="Arial" w:cs="Arial"/>
            <w:sz w:val="18"/>
            <w:szCs w:val="18"/>
          </w:rPr>
          <w:t>http://www.nsfas.org.za/loan.htm</w:t>
        </w:r>
      </w:hyperlink>
    </w:p>
  </w:footnote>
  <w:footnote w:id="54">
    <w:p w:rsidR="006357C5" w:rsidRPr="002768DF" w:rsidRDefault="006357C5" w:rsidP="006357C5">
      <w:pPr>
        <w:pStyle w:val="FootnoteText"/>
        <w:spacing w:after="240" w:line="276" w:lineRule="auto"/>
        <w:rPr>
          <w:rFonts w:ascii="Arial" w:hAnsi="Arial" w:cs="Arial"/>
          <w:sz w:val="18"/>
          <w:szCs w:val="18"/>
        </w:rPr>
      </w:pPr>
      <w:r w:rsidRPr="002768DF">
        <w:rPr>
          <w:rStyle w:val="FootnoteReference"/>
          <w:rFonts w:ascii="Arial" w:hAnsi="Arial" w:cs="Arial"/>
          <w:sz w:val="18"/>
          <w:szCs w:val="18"/>
        </w:rPr>
        <w:footnoteRef/>
      </w:r>
      <w:r w:rsidRPr="002768DF">
        <w:rPr>
          <w:rFonts w:ascii="Arial" w:hAnsi="Arial" w:cs="Arial"/>
          <w:sz w:val="18"/>
          <w:szCs w:val="18"/>
        </w:rPr>
        <w:t xml:space="preserve"> For a full list of recommendations on how to improve the NSFAS model, please see a report from the Ministerial Committee on the Review of the National Student Financial Aid Scheme at </w:t>
      </w:r>
      <w:hyperlink r:id="rId10" w:history="1">
        <w:r w:rsidRPr="002768DF">
          <w:rPr>
            <w:rStyle w:val="Hyperlink"/>
            <w:rFonts w:ascii="Arial" w:hAnsi="Arial" w:cs="Arial"/>
            <w:sz w:val="18"/>
            <w:szCs w:val="18"/>
          </w:rPr>
          <w:t>http://www.cepd.org.za/files/pictures/NSFAS%20Report.pdf</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7DF"/>
    <w:multiLevelType w:val="hybridMultilevel"/>
    <w:tmpl w:val="B544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90F62"/>
    <w:multiLevelType w:val="singleLevel"/>
    <w:tmpl w:val="3502E25E"/>
    <w:lvl w:ilvl="0">
      <w:start w:val="1"/>
      <w:numFmt w:val="bullet"/>
      <w:pStyle w:val="ListBullet"/>
      <w:lvlText w:val="·"/>
      <w:lvlJc w:val="left"/>
      <w:pPr>
        <w:tabs>
          <w:tab w:val="num" w:pos="850"/>
        </w:tabs>
        <w:ind w:left="850" w:hanging="408"/>
      </w:pPr>
      <w:rPr>
        <w:rFonts w:ascii="Symbol" w:hAnsi="Symbol" w:hint="default"/>
        <w:b w:val="0"/>
        <w:i w:val="0"/>
        <w:sz w:val="22"/>
      </w:rPr>
    </w:lvl>
  </w:abstractNum>
  <w:abstractNum w:abstractNumId="2">
    <w:nsid w:val="0BE03C4A"/>
    <w:multiLevelType w:val="hybridMultilevel"/>
    <w:tmpl w:val="605414A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F9748DB"/>
    <w:multiLevelType w:val="multilevel"/>
    <w:tmpl w:val="468A844A"/>
    <w:lvl w:ilvl="0">
      <w:start w:val="1"/>
      <w:numFmt w:val="decimal"/>
      <w:pStyle w:val="Style1"/>
      <w:lvlText w:val="%1."/>
      <w:lvlJc w:val="left"/>
      <w:pPr>
        <w:ind w:left="720" w:hanging="360"/>
      </w:pPr>
      <w:rPr>
        <w:rFonts w:cs="Times New Roman" w:hint="default"/>
      </w:rPr>
    </w:lvl>
    <w:lvl w:ilvl="1">
      <w:start w:val="1"/>
      <w:numFmt w:val="decimal"/>
      <w:pStyle w:val="Style2"/>
      <w:isLgl/>
      <w:lvlText w:val="%1.%2."/>
      <w:lvlJc w:val="left"/>
      <w:pPr>
        <w:ind w:left="1080" w:hanging="720"/>
      </w:pPr>
      <w:rPr>
        <w:rFonts w:cs="Times New Roman" w:hint="default"/>
        <w:b/>
      </w:rPr>
    </w:lvl>
    <w:lvl w:ilvl="2">
      <w:start w:val="1"/>
      <w:numFmt w:val="decimal"/>
      <w:pStyle w:val="Style3"/>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0FD6EAB"/>
    <w:multiLevelType w:val="multilevel"/>
    <w:tmpl w:val="1B4EEECC"/>
    <w:lvl w:ilvl="0">
      <w:start w:val="1"/>
      <w:numFmt w:val="lowerRoman"/>
      <w:lvlText w:val="%1."/>
      <w:lvlJc w:val="righ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1451110E"/>
    <w:multiLevelType w:val="hybridMultilevel"/>
    <w:tmpl w:val="F298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A26419"/>
    <w:multiLevelType w:val="hybridMultilevel"/>
    <w:tmpl w:val="CEA417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FC13492"/>
    <w:multiLevelType w:val="hybridMultilevel"/>
    <w:tmpl w:val="17461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69497B"/>
    <w:multiLevelType w:val="hybridMultilevel"/>
    <w:tmpl w:val="6F463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777A24"/>
    <w:multiLevelType w:val="hybridMultilevel"/>
    <w:tmpl w:val="3118D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780B05"/>
    <w:multiLevelType w:val="hybridMultilevel"/>
    <w:tmpl w:val="E61EB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4220C5"/>
    <w:multiLevelType w:val="hybridMultilevel"/>
    <w:tmpl w:val="A8788BE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46E572BE"/>
    <w:multiLevelType w:val="hybridMultilevel"/>
    <w:tmpl w:val="93049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3E361C"/>
    <w:multiLevelType w:val="hybridMultilevel"/>
    <w:tmpl w:val="2E04A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A26938"/>
    <w:multiLevelType w:val="hybridMultilevel"/>
    <w:tmpl w:val="BA82A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606733"/>
    <w:multiLevelType w:val="hybridMultilevel"/>
    <w:tmpl w:val="BC489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326B0B"/>
    <w:multiLevelType w:val="hybridMultilevel"/>
    <w:tmpl w:val="96EEB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455583"/>
    <w:multiLevelType w:val="hybridMultilevel"/>
    <w:tmpl w:val="8F565DF0"/>
    <w:lvl w:ilvl="0" w:tplc="CCE897D0">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76172224"/>
    <w:multiLevelType w:val="hybridMultilevel"/>
    <w:tmpl w:val="FD06581E"/>
    <w:lvl w:ilvl="0" w:tplc="0409001B">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795D3FBA"/>
    <w:multiLevelType w:val="hybridMultilevel"/>
    <w:tmpl w:val="1F1CF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C383AC0"/>
    <w:multiLevelType w:val="hybridMultilevel"/>
    <w:tmpl w:val="BEBE16F8"/>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17"/>
  </w:num>
  <w:num w:numId="3">
    <w:abstractNumId w:val="20"/>
  </w:num>
  <w:num w:numId="4">
    <w:abstractNumId w:val="4"/>
  </w:num>
  <w:num w:numId="5">
    <w:abstractNumId w:val="3"/>
  </w:num>
  <w:num w:numId="6">
    <w:abstractNumId w:val="2"/>
  </w:num>
  <w:num w:numId="7">
    <w:abstractNumId w:val="15"/>
  </w:num>
  <w:num w:numId="8">
    <w:abstractNumId w:val="19"/>
  </w:num>
  <w:num w:numId="9">
    <w:abstractNumId w:val="16"/>
  </w:num>
  <w:num w:numId="10">
    <w:abstractNumId w:val="7"/>
  </w:num>
  <w:num w:numId="11">
    <w:abstractNumId w:val="18"/>
  </w:num>
  <w:num w:numId="12">
    <w:abstractNumId w:val="14"/>
  </w:num>
  <w:num w:numId="13">
    <w:abstractNumId w:val="9"/>
  </w:num>
  <w:num w:numId="14">
    <w:abstractNumId w:val="6"/>
  </w:num>
  <w:num w:numId="15">
    <w:abstractNumId w:val="12"/>
  </w:num>
  <w:num w:numId="16">
    <w:abstractNumId w:val="5"/>
  </w:num>
  <w:num w:numId="17">
    <w:abstractNumId w:val="11"/>
  </w:num>
  <w:num w:numId="18">
    <w:abstractNumId w:val="8"/>
  </w:num>
  <w:num w:numId="19">
    <w:abstractNumId w:val="10"/>
  </w:num>
  <w:num w:numId="20">
    <w:abstractNumId w:val="0"/>
  </w:num>
  <w:num w:numId="2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7C5"/>
    <w:rsid w:val="00001CA7"/>
    <w:rsid w:val="00001CF6"/>
    <w:rsid w:val="00003618"/>
    <w:rsid w:val="00003996"/>
    <w:rsid w:val="0000416B"/>
    <w:rsid w:val="00005649"/>
    <w:rsid w:val="000056BE"/>
    <w:rsid w:val="00005B5D"/>
    <w:rsid w:val="00005EC5"/>
    <w:rsid w:val="000068B5"/>
    <w:rsid w:val="00006A67"/>
    <w:rsid w:val="00006BEC"/>
    <w:rsid w:val="000079AB"/>
    <w:rsid w:val="00007F96"/>
    <w:rsid w:val="000101C1"/>
    <w:rsid w:val="00012493"/>
    <w:rsid w:val="00013036"/>
    <w:rsid w:val="000140CB"/>
    <w:rsid w:val="00014309"/>
    <w:rsid w:val="0001516F"/>
    <w:rsid w:val="00015FD3"/>
    <w:rsid w:val="00020826"/>
    <w:rsid w:val="00020998"/>
    <w:rsid w:val="000212F0"/>
    <w:rsid w:val="00021C9A"/>
    <w:rsid w:val="00021DF0"/>
    <w:rsid w:val="00022616"/>
    <w:rsid w:val="0002331B"/>
    <w:rsid w:val="0002483B"/>
    <w:rsid w:val="00025385"/>
    <w:rsid w:val="000255F8"/>
    <w:rsid w:val="00027324"/>
    <w:rsid w:val="00027495"/>
    <w:rsid w:val="00027E9F"/>
    <w:rsid w:val="00031055"/>
    <w:rsid w:val="00031B20"/>
    <w:rsid w:val="00032464"/>
    <w:rsid w:val="000336F2"/>
    <w:rsid w:val="000338B1"/>
    <w:rsid w:val="000350E5"/>
    <w:rsid w:val="000361EE"/>
    <w:rsid w:val="00036FEF"/>
    <w:rsid w:val="000373F0"/>
    <w:rsid w:val="00037B15"/>
    <w:rsid w:val="00040DF3"/>
    <w:rsid w:val="00040FE2"/>
    <w:rsid w:val="00041A43"/>
    <w:rsid w:val="0004260D"/>
    <w:rsid w:val="00044E9B"/>
    <w:rsid w:val="0004564E"/>
    <w:rsid w:val="000468FB"/>
    <w:rsid w:val="00046F98"/>
    <w:rsid w:val="000501A1"/>
    <w:rsid w:val="0005132D"/>
    <w:rsid w:val="000516C4"/>
    <w:rsid w:val="0005342D"/>
    <w:rsid w:val="000535DA"/>
    <w:rsid w:val="000540D6"/>
    <w:rsid w:val="000558B6"/>
    <w:rsid w:val="00055BFB"/>
    <w:rsid w:val="000565A7"/>
    <w:rsid w:val="00056B91"/>
    <w:rsid w:val="00057713"/>
    <w:rsid w:val="00060760"/>
    <w:rsid w:val="000623BD"/>
    <w:rsid w:val="00063209"/>
    <w:rsid w:val="00064581"/>
    <w:rsid w:val="000649FC"/>
    <w:rsid w:val="00066A85"/>
    <w:rsid w:val="00066CFB"/>
    <w:rsid w:val="00067483"/>
    <w:rsid w:val="000701B0"/>
    <w:rsid w:val="00070D72"/>
    <w:rsid w:val="00071087"/>
    <w:rsid w:val="000719B8"/>
    <w:rsid w:val="00071B34"/>
    <w:rsid w:val="00072585"/>
    <w:rsid w:val="00072E4C"/>
    <w:rsid w:val="00072FCE"/>
    <w:rsid w:val="00073401"/>
    <w:rsid w:val="000734D2"/>
    <w:rsid w:val="000737EF"/>
    <w:rsid w:val="00074093"/>
    <w:rsid w:val="00074CCE"/>
    <w:rsid w:val="0007536A"/>
    <w:rsid w:val="00075B36"/>
    <w:rsid w:val="000769FD"/>
    <w:rsid w:val="00077EFD"/>
    <w:rsid w:val="00080B58"/>
    <w:rsid w:val="00080D51"/>
    <w:rsid w:val="0008160C"/>
    <w:rsid w:val="00081DFA"/>
    <w:rsid w:val="00082CA5"/>
    <w:rsid w:val="0008370E"/>
    <w:rsid w:val="00084826"/>
    <w:rsid w:val="00084BDA"/>
    <w:rsid w:val="00086F35"/>
    <w:rsid w:val="000875CC"/>
    <w:rsid w:val="0009058E"/>
    <w:rsid w:val="00090A75"/>
    <w:rsid w:val="00094697"/>
    <w:rsid w:val="00094822"/>
    <w:rsid w:val="00094A80"/>
    <w:rsid w:val="00095646"/>
    <w:rsid w:val="000967D3"/>
    <w:rsid w:val="00097005"/>
    <w:rsid w:val="000977E7"/>
    <w:rsid w:val="00097F95"/>
    <w:rsid w:val="000A0214"/>
    <w:rsid w:val="000A1361"/>
    <w:rsid w:val="000A1A84"/>
    <w:rsid w:val="000A3036"/>
    <w:rsid w:val="000A417E"/>
    <w:rsid w:val="000A4457"/>
    <w:rsid w:val="000A703E"/>
    <w:rsid w:val="000A787C"/>
    <w:rsid w:val="000B007F"/>
    <w:rsid w:val="000B02AA"/>
    <w:rsid w:val="000B1157"/>
    <w:rsid w:val="000B2A15"/>
    <w:rsid w:val="000B39ED"/>
    <w:rsid w:val="000B493D"/>
    <w:rsid w:val="000B58E5"/>
    <w:rsid w:val="000B6444"/>
    <w:rsid w:val="000B673D"/>
    <w:rsid w:val="000B7460"/>
    <w:rsid w:val="000B76AD"/>
    <w:rsid w:val="000C06A0"/>
    <w:rsid w:val="000C0D3C"/>
    <w:rsid w:val="000C0E85"/>
    <w:rsid w:val="000C2B7A"/>
    <w:rsid w:val="000C2BAF"/>
    <w:rsid w:val="000C34AC"/>
    <w:rsid w:val="000C3B1F"/>
    <w:rsid w:val="000C3DB7"/>
    <w:rsid w:val="000C3DBD"/>
    <w:rsid w:val="000C43FF"/>
    <w:rsid w:val="000C5C24"/>
    <w:rsid w:val="000C5DF3"/>
    <w:rsid w:val="000C6270"/>
    <w:rsid w:val="000C757B"/>
    <w:rsid w:val="000C7F55"/>
    <w:rsid w:val="000D0942"/>
    <w:rsid w:val="000D0C7B"/>
    <w:rsid w:val="000D22FF"/>
    <w:rsid w:val="000D384F"/>
    <w:rsid w:val="000D3D3E"/>
    <w:rsid w:val="000D4189"/>
    <w:rsid w:val="000D42E5"/>
    <w:rsid w:val="000D5965"/>
    <w:rsid w:val="000D6262"/>
    <w:rsid w:val="000D646D"/>
    <w:rsid w:val="000D6FA2"/>
    <w:rsid w:val="000D6FE6"/>
    <w:rsid w:val="000D7228"/>
    <w:rsid w:val="000D7263"/>
    <w:rsid w:val="000D7451"/>
    <w:rsid w:val="000D7794"/>
    <w:rsid w:val="000D7F52"/>
    <w:rsid w:val="000E0615"/>
    <w:rsid w:val="000E3117"/>
    <w:rsid w:val="000E3509"/>
    <w:rsid w:val="000E3FF8"/>
    <w:rsid w:val="000E4A2A"/>
    <w:rsid w:val="000E4E33"/>
    <w:rsid w:val="000E53ED"/>
    <w:rsid w:val="000E5D4E"/>
    <w:rsid w:val="000E74AA"/>
    <w:rsid w:val="000E7ABB"/>
    <w:rsid w:val="000E7D32"/>
    <w:rsid w:val="000F0AAE"/>
    <w:rsid w:val="000F2018"/>
    <w:rsid w:val="000F24B5"/>
    <w:rsid w:val="000F2FB7"/>
    <w:rsid w:val="000F4F86"/>
    <w:rsid w:val="000F5C87"/>
    <w:rsid w:val="000F5D4E"/>
    <w:rsid w:val="000F7C43"/>
    <w:rsid w:val="00100041"/>
    <w:rsid w:val="001005D2"/>
    <w:rsid w:val="0010066E"/>
    <w:rsid w:val="00100A66"/>
    <w:rsid w:val="00100B15"/>
    <w:rsid w:val="0010284E"/>
    <w:rsid w:val="00102CEB"/>
    <w:rsid w:val="001039F7"/>
    <w:rsid w:val="00104EC3"/>
    <w:rsid w:val="001050B5"/>
    <w:rsid w:val="001053FC"/>
    <w:rsid w:val="001056E2"/>
    <w:rsid w:val="00105ADC"/>
    <w:rsid w:val="00105F8A"/>
    <w:rsid w:val="00106B43"/>
    <w:rsid w:val="00107056"/>
    <w:rsid w:val="0010734D"/>
    <w:rsid w:val="00110248"/>
    <w:rsid w:val="001111EE"/>
    <w:rsid w:val="001115AB"/>
    <w:rsid w:val="00111E60"/>
    <w:rsid w:val="001131F5"/>
    <w:rsid w:val="0011410A"/>
    <w:rsid w:val="00114246"/>
    <w:rsid w:val="00115CD1"/>
    <w:rsid w:val="001204BD"/>
    <w:rsid w:val="001213B4"/>
    <w:rsid w:val="001217FA"/>
    <w:rsid w:val="0012405F"/>
    <w:rsid w:val="00125767"/>
    <w:rsid w:val="00126141"/>
    <w:rsid w:val="00127183"/>
    <w:rsid w:val="00127FB0"/>
    <w:rsid w:val="00130927"/>
    <w:rsid w:val="00133775"/>
    <w:rsid w:val="00134CCC"/>
    <w:rsid w:val="00134EEF"/>
    <w:rsid w:val="001363F4"/>
    <w:rsid w:val="00136ECE"/>
    <w:rsid w:val="00137AD5"/>
    <w:rsid w:val="00137E40"/>
    <w:rsid w:val="00141BC4"/>
    <w:rsid w:val="001425D4"/>
    <w:rsid w:val="00142AFA"/>
    <w:rsid w:val="00142D71"/>
    <w:rsid w:val="00142E84"/>
    <w:rsid w:val="0014309D"/>
    <w:rsid w:val="00143CBC"/>
    <w:rsid w:val="00143D33"/>
    <w:rsid w:val="0014459F"/>
    <w:rsid w:val="00144619"/>
    <w:rsid w:val="0014578F"/>
    <w:rsid w:val="00145D14"/>
    <w:rsid w:val="00145EAE"/>
    <w:rsid w:val="00145F78"/>
    <w:rsid w:val="0014647E"/>
    <w:rsid w:val="00146FB3"/>
    <w:rsid w:val="0014740F"/>
    <w:rsid w:val="0014772D"/>
    <w:rsid w:val="00151750"/>
    <w:rsid w:val="00151F69"/>
    <w:rsid w:val="00152B29"/>
    <w:rsid w:val="00153735"/>
    <w:rsid w:val="0015435C"/>
    <w:rsid w:val="00155103"/>
    <w:rsid w:val="00155437"/>
    <w:rsid w:val="00160F9E"/>
    <w:rsid w:val="00162058"/>
    <w:rsid w:val="001622F8"/>
    <w:rsid w:val="001623B1"/>
    <w:rsid w:val="00162B15"/>
    <w:rsid w:val="00162D98"/>
    <w:rsid w:val="00163A8B"/>
    <w:rsid w:val="001643E6"/>
    <w:rsid w:val="00164F10"/>
    <w:rsid w:val="0016519C"/>
    <w:rsid w:val="00166337"/>
    <w:rsid w:val="00166431"/>
    <w:rsid w:val="001679EB"/>
    <w:rsid w:val="00167B53"/>
    <w:rsid w:val="00167EEE"/>
    <w:rsid w:val="0017012D"/>
    <w:rsid w:val="00170B72"/>
    <w:rsid w:val="00171199"/>
    <w:rsid w:val="001712F6"/>
    <w:rsid w:val="00171479"/>
    <w:rsid w:val="00172CD5"/>
    <w:rsid w:val="00172DD0"/>
    <w:rsid w:val="00172E4A"/>
    <w:rsid w:val="00173096"/>
    <w:rsid w:val="00173B12"/>
    <w:rsid w:val="00173EA5"/>
    <w:rsid w:val="001750BA"/>
    <w:rsid w:val="001751EE"/>
    <w:rsid w:val="001758FF"/>
    <w:rsid w:val="00175ACC"/>
    <w:rsid w:val="00175E10"/>
    <w:rsid w:val="00176667"/>
    <w:rsid w:val="00180712"/>
    <w:rsid w:val="0018170F"/>
    <w:rsid w:val="00182D81"/>
    <w:rsid w:val="0018473E"/>
    <w:rsid w:val="00184B95"/>
    <w:rsid w:val="00186B22"/>
    <w:rsid w:val="001900B1"/>
    <w:rsid w:val="001911E9"/>
    <w:rsid w:val="001948EF"/>
    <w:rsid w:val="001958FF"/>
    <w:rsid w:val="00195DA3"/>
    <w:rsid w:val="00196940"/>
    <w:rsid w:val="00197177"/>
    <w:rsid w:val="001A017D"/>
    <w:rsid w:val="001A085A"/>
    <w:rsid w:val="001A09D3"/>
    <w:rsid w:val="001A1B2E"/>
    <w:rsid w:val="001A237F"/>
    <w:rsid w:val="001A2BAF"/>
    <w:rsid w:val="001A2E39"/>
    <w:rsid w:val="001A2EEA"/>
    <w:rsid w:val="001A3854"/>
    <w:rsid w:val="001A39C6"/>
    <w:rsid w:val="001A3EC4"/>
    <w:rsid w:val="001A4317"/>
    <w:rsid w:val="001A53FE"/>
    <w:rsid w:val="001A64AD"/>
    <w:rsid w:val="001A73F6"/>
    <w:rsid w:val="001A7FC6"/>
    <w:rsid w:val="001B0A27"/>
    <w:rsid w:val="001B0AB7"/>
    <w:rsid w:val="001B0C3F"/>
    <w:rsid w:val="001B19F0"/>
    <w:rsid w:val="001B22D5"/>
    <w:rsid w:val="001B376D"/>
    <w:rsid w:val="001B37ED"/>
    <w:rsid w:val="001B3924"/>
    <w:rsid w:val="001B3C21"/>
    <w:rsid w:val="001B3FB9"/>
    <w:rsid w:val="001B4355"/>
    <w:rsid w:val="001B4556"/>
    <w:rsid w:val="001B5A4D"/>
    <w:rsid w:val="001B5B3F"/>
    <w:rsid w:val="001B70B8"/>
    <w:rsid w:val="001C01E6"/>
    <w:rsid w:val="001C15F5"/>
    <w:rsid w:val="001C1642"/>
    <w:rsid w:val="001C1DD6"/>
    <w:rsid w:val="001C251B"/>
    <w:rsid w:val="001C2756"/>
    <w:rsid w:val="001C2A35"/>
    <w:rsid w:val="001C2FFF"/>
    <w:rsid w:val="001C44E6"/>
    <w:rsid w:val="001C5FA0"/>
    <w:rsid w:val="001C6726"/>
    <w:rsid w:val="001C799A"/>
    <w:rsid w:val="001C7DF0"/>
    <w:rsid w:val="001C7FBF"/>
    <w:rsid w:val="001D25C4"/>
    <w:rsid w:val="001D2EDC"/>
    <w:rsid w:val="001D306E"/>
    <w:rsid w:val="001D356A"/>
    <w:rsid w:val="001D4A97"/>
    <w:rsid w:val="001D5FE2"/>
    <w:rsid w:val="001D602C"/>
    <w:rsid w:val="001D623F"/>
    <w:rsid w:val="001D6AF2"/>
    <w:rsid w:val="001E181F"/>
    <w:rsid w:val="001E2102"/>
    <w:rsid w:val="001E283F"/>
    <w:rsid w:val="001E3624"/>
    <w:rsid w:val="001E36EA"/>
    <w:rsid w:val="001E382B"/>
    <w:rsid w:val="001E3D4E"/>
    <w:rsid w:val="001E4997"/>
    <w:rsid w:val="001E4E74"/>
    <w:rsid w:val="001E51C2"/>
    <w:rsid w:val="001E6AC8"/>
    <w:rsid w:val="001E71B4"/>
    <w:rsid w:val="001E773A"/>
    <w:rsid w:val="001E7AD0"/>
    <w:rsid w:val="001F03AA"/>
    <w:rsid w:val="001F0F61"/>
    <w:rsid w:val="001F19FD"/>
    <w:rsid w:val="001F1E81"/>
    <w:rsid w:val="001F2AA6"/>
    <w:rsid w:val="001F2C8D"/>
    <w:rsid w:val="001F363C"/>
    <w:rsid w:val="001F4DEF"/>
    <w:rsid w:val="001F5148"/>
    <w:rsid w:val="001F5E67"/>
    <w:rsid w:val="001F6118"/>
    <w:rsid w:val="001F7581"/>
    <w:rsid w:val="001F77F7"/>
    <w:rsid w:val="002001BE"/>
    <w:rsid w:val="0020110A"/>
    <w:rsid w:val="00201EA5"/>
    <w:rsid w:val="0020207D"/>
    <w:rsid w:val="002055E8"/>
    <w:rsid w:val="00205648"/>
    <w:rsid w:val="00205D0F"/>
    <w:rsid w:val="002060EB"/>
    <w:rsid w:val="002079E1"/>
    <w:rsid w:val="00210A76"/>
    <w:rsid w:val="00214448"/>
    <w:rsid w:val="00214B31"/>
    <w:rsid w:val="00214DE1"/>
    <w:rsid w:val="00214E0E"/>
    <w:rsid w:val="0021545C"/>
    <w:rsid w:val="0021595E"/>
    <w:rsid w:val="0021632E"/>
    <w:rsid w:val="00216F4D"/>
    <w:rsid w:val="00216FFF"/>
    <w:rsid w:val="00220550"/>
    <w:rsid w:val="002206A0"/>
    <w:rsid w:val="00220C26"/>
    <w:rsid w:val="002217F0"/>
    <w:rsid w:val="002222C5"/>
    <w:rsid w:val="002228F7"/>
    <w:rsid w:val="002229E9"/>
    <w:rsid w:val="00222FEA"/>
    <w:rsid w:val="00223953"/>
    <w:rsid w:val="00224136"/>
    <w:rsid w:val="00224647"/>
    <w:rsid w:val="00224F3F"/>
    <w:rsid w:val="00225488"/>
    <w:rsid w:val="00225B86"/>
    <w:rsid w:val="00227006"/>
    <w:rsid w:val="00233136"/>
    <w:rsid w:val="002348C8"/>
    <w:rsid w:val="002355BF"/>
    <w:rsid w:val="0023633E"/>
    <w:rsid w:val="0023665F"/>
    <w:rsid w:val="00236AE8"/>
    <w:rsid w:val="00236BDC"/>
    <w:rsid w:val="00236F82"/>
    <w:rsid w:val="00240334"/>
    <w:rsid w:val="002408E8"/>
    <w:rsid w:val="00240EB5"/>
    <w:rsid w:val="002412B2"/>
    <w:rsid w:val="002415D3"/>
    <w:rsid w:val="0024176A"/>
    <w:rsid w:val="00241C12"/>
    <w:rsid w:val="00241EBC"/>
    <w:rsid w:val="00242863"/>
    <w:rsid w:val="002428F0"/>
    <w:rsid w:val="00243A99"/>
    <w:rsid w:val="00243DBA"/>
    <w:rsid w:val="002443A1"/>
    <w:rsid w:val="00244528"/>
    <w:rsid w:val="00244C48"/>
    <w:rsid w:val="00244CE3"/>
    <w:rsid w:val="00245188"/>
    <w:rsid w:val="00245E9A"/>
    <w:rsid w:val="00246962"/>
    <w:rsid w:val="00246EE4"/>
    <w:rsid w:val="00247253"/>
    <w:rsid w:val="00247A3E"/>
    <w:rsid w:val="00247C7C"/>
    <w:rsid w:val="0025149A"/>
    <w:rsid w:val="00251AF0"/>
    <w:rsid w:val="002522F7"/>
    <w:rsid w:val="00254950"/>
    <w:rsid w:val="00254D2E"/>
    <w:rsid w:val="00255C4A"/>
    <w:rsid w:val="00255C6C"/>
    <w:rsid w:val="00256A3F"/>
    <w:rsid w:val="002577C8"/>
    <w:rsid w:val="00257D7F"/>
    <w:rsid w:val="00260607"/>
    <w:rsid w:val="00262816"/>
    <w:rsid w:val="002643C5"/>
    <w:rsid w:val="00266714"/>
    <w:rsid w:val="00270360"/>
    <w:rsid w:val="00271508"/>
    <w:rsid w:val="0027186D"/>
    <w:rsid w:val="0027504E"/>
    <w:rsid w:val="00275500"/>
    <w:rsid w:val="00276AC3"/>
    <w:rsid w:val="00276C6F"/>
    <w:rsid w:val="00280602"/>
    <w:rsid w:val="002808D2"/>
    <w:rsid w:val="00280A46"/>
    <w:rsid w:val="00280A59"/>
    <w:rsid w:val="00280D6F"/>
    <w:rsid w:val="00281E37"/>
    <w:rsid w:val="002828AF"/>
    <w:rsid w:val="00283206"/>
    <w:rsid w:val="0028347E"/>
    <w:rsid w:val="002842EB"/>
    <w:rsid w:val="00285D80"/>
    <w:rsid w:val="0028706C"/>
    <w:rsid w:val="002876AB"/>
    <w:rsid w:val="00290D10"/>
    <w:rsid w:val="00290E25"/>
    <w:rsid w:val="002914C3"/>
    <w:rsid w:val="00291914"/>
    <w:rsid w:val="00291ED0"/>
    <w:rsid w:val="00293409"/>
    <w:rsid w:val="0029354B"/>
    <w:rsid w:val="00293FE1"/>
    <w:rsid w:val="00295334"/>
    <w:rsid w:val="0029568D"/>
    <w:rsid w:val="00295B3C"/>
    <w:rsid w:val="00295F45"/>
    <w:rsid w:val="00297C02"/>
    <w:rsid w:val="002A0DA6"/>
    <w:rsid w:val="002A2AE1"/>
    <w:rsid w:val="002A2C1B"/>
    <w:rsid w:val="002A4031"/>
    <w:rsid w:val="002A4268"/>
    <w:rsid w:val="002A4552"/>
    <w:rsid w:val="002A51A6"/>
    <w:rsid w:val="002A560F"/>
    <w:rsid w:val="002A5787"/>
    <w:rsid w:val="002A60D2"/>
    <w:rsid w:val="002A62B5"/>
    <w:rsid w:val="002A6B31"/>
    <w:rsid w:val="002A6BA6"/>
    <w:rsid w:val="002A74DE"/>
    <w:rsid w:val="002A78B8"/>
    <w:rsid w:val="002B1B96"/>
    <w:rsid w:val="002B1E6D"/>
    <w:rsid w:val="002B43E6"/>
    <w:rsid w:val="002B5A12"/>
    <w:rsid w:val="002B78DA"/>
    <w:rsid w:val="002B7906"/>
    <w:rsid w:val="002B7995"/>
    <w:rsid w:val="002C0051"/>
    <w:rsid w:val="002C00AB"/>
    <w:rsid w:val="002C02CD"/>
    <w:rsid w:val="002C07BA"/>
    <w:rsid w:val="002C0EE1"/>
    <w:rsid w:val="002C1BAC"/>
    <w:rsid w:val="002C3563"/>
    <w:rsid w:val="002C49A6"/>
    <w:rsid w:val="002C56CB"/>
    <w:rsid w:val="002C62A6"/>
    <w:rsid w:val="002C70A5"/>
    <w:rsid w:val="002C76C4"/>
    <w:rsid w:val="002C7A81"/>
    <w:rsid w:val="002D2CDE"/>
    <w:rsid w:val="002D35FC"/>
    <w:rsid w:val="002D4088"/>
    <w:rsid w:val="002D517E"/>
    <w:rsid w:val="002D62DD"/>
    <w:rsid w:val="002D62E3"/>
    <w:rsid w:val="002D7DEF"/>
    <w:rsid w:val="002D7E6B"/>
    <w:rsid w:val="002E0598"/>
    <w:rsid w:val="002E06F2"/>
    <w:rsid w:val="002E0B74"/>
    <w:rsid w:val="002E15AD"/>
    <w:rsid w:val="002E1EE3"/>
    <w:rsid w:val="002E2976"/>
    <w:rsid w:val="002E308E"/>
    <w:rsid w:val="002E3956"/>
    <w:rsid w:val="002E39FA"/>
    <w:rsid w:val="002E449E"/>
    <w:rsid w:val="002E48E5"/>
    <w:rsid w:val="002E4C44"/>
    <w:rsid w:val="002E5C7D"/>
    <w:rsid w:val="002E5E8D"/>
    <w:rsid w:val="002E7042"/>
    <w:rsid w:val="002F071A"/>
    <w:rsid w:val="002F0A7A"/>
    <w:rsid w:val="002F19B2"/>
    <w:rsid w:val="002F1BBA"/>
    <w:rsid w:val="002F21F8"/>
    <w:rsid w:val="002F28F1"/>
    <w:rsid w:val="002F38E2"/>
    <w:rsid w:val="002F40CA"/>
    <w:rsid w:val="002F414B"/>
    <w:rsid w:val="002F4388"/>
    <w:rsid w:val="002F5A3A"/>
    <w:rsid w:val="002F73C1"/>
    <w:rsid w:val="003005F5"/>
    <w:rsid w:val="00300A22"/>
    <w:rsid w:val="00301985"/>
    <w:rsid w:val="00301D57"/>
    <w:rsid w:val="0030275C"/>
    <w:rsid w:val="00303015"/>
    <w:rsid w:val="003036D4"/>
    <w:rsid w:val="003039FD"/>
    <w:rsid w:val="00303BC2"/>
    <w:rsid w:val="00304450"/>
    <w:rsid w:val="0030482E"/>
    <w:rsid w:val="00304C74"/>
    <w:rsid w:val="00305392"/>
    <w:rsid w:val="00305BBC"/>
    <w:rsid w:val="00306A80"/>
    <w:rsid w:val="00307D82"/>
    <w:rsid w:val="003106C2"/>
    <w:rsid w:val="003108A8"/>
    <w:rsid w:val="00310A02"/>
    <w:rsid w:val="0031221D"/>
    <w:rsid w:val="0031245A"/>
    <w:rsid w:val="00312821"/>
    <w:rsid w:val="0031301A"/>
    <w:rsid w:val="00314DB4"/>
    <w:rsid w:val="00316237"/>
    <w:rsid w:val="00316C4C"/>
    <w:rsid w:val="0031725A"/>
    <w:rsid w:val="00317454"/>
    <w:rsid w:val="00317BAB"/>
    <w:rsid w:val="00320F8D"/>
    <w:rsid w:val="00321112"/>
    <w:rsid w:val="0032208C"/>
    <w:rsid w:val="0032321B"/>
    <w:rsid w:val="00323F6B"/>
    <w:rsid w:val="003273D5"/>
    <w:rsid w:val="003277EE"/>
    <w:rsid w:val="003305C2"/>
    <w:rsid w:val="003318AC"/>
    <w:rsid w:val="00332674"/>
    <w:rsid w:val="0033436A"/>
    <w:rsid w:val="00335805"/>
    <w:rsid w:val="003359A7"/>
    <w:rsid w:val="00335A33"/>
    <w:rsid w:val="00335AC5"/>
    <w:rsid w:val="00335BEF"/>
    <w:rsid w:val="003369AC"/>
    <w:rsid w:val="00336A8C"/>
    <w:rsid w:val="00337763"/>
    <w:rsid w:val="00337BDF"/>
    <w:rsid w:val="003446BB"/>
    <w:rsid w:val="00344DB4"/>
    <w:rsid w:val="00345885"/>
    <w:rsid w:val="003459C8"/>
    <w:rsid w:val="00345AA9"/>
    <w:rsid w:val="00347401"/>
    <w:rsid w:val="003504E6"/>
    <w:rsid w:val="00351342"/>
    <w:rsid w:val="003515F2"/>
    <w:rsid w:val="00352661"/>
    <w:rsid w:val="00352A87"/>
    <w:rsid w:val="00352B30"/>
    <w:rsid w:val="00353D0B"/>
    <w:rsid w:val="00356964"/>
    <w:rsid w:val="00356F1B"/>
    <w:rsid w:val="0036084D"/>
    <w:rsid w:val="003620F7"/>
    <w:rsid w:val="00362331"/>
    <w:rsid w:val="00362585"/>
    <w:rsid w:val="00362C26"/>
    <w:rsid w:val="00362C38"/>
    <w:rsid w:val="003636AD"/>
    <w:rsid w:val="00367C26"/>
    <w:rsid w:val="00367D11"/>
    <w:rsid w:val="00370FB6"/>
    <w:rsid w:val="00371080"/>
    <w:rsid w:val="00371219"/>
    <w:rsid w:val="00371832"/>
    <w:rsid w:val="00372646"/>
    <w:rsid w:val="003729E0"/>
    <w:rsid w:val="00373769"/>
    <w:rsid w:val="0037422B"/>
    <w:rsid w:val="003747E0"/>
    <w:rsid w:val="00375632"/>
    <w:rsid w:val="00375FAF"/>
    <w:rsid w:val="003766FC"/>
    <w:rsid w:val="00376832"/>
    <w:rsid w:val="00376BEB"/>
    <w:rsid w:val="00377C3D"/>
    <w:rsid w:val="00380326"/>
    <w:rsid w:val="00380504"/>
    <w:rsid w:val="00380F35"/>
    <w:rsid w:val="0038149C"/>
    <w:rsid w:val="003828F5"/>
    <w:rsid w:val="00382ACD"/>
    <w:rsid w:val="00383325"/>
    <w:rsid w:val="003846D9"/>
    <w:rsid w:val="00384AA5"/>
    <w:rsid w:val="00384BE2"/>
    <w:rsid w:val="00384ED7"/>
    <w:rsid w:val="003856BD"/>
    <w:rsid w:val="00385C01"/>
    <w:rsid w:val="003873B0"/>
    <w:rsid w:val="00387EBC"/>
    <w:rsid w:val="00387FC9"/>
    <w:rsid w:val="003907E6"/>
    <w:rsid w:val="0039171A"/>
    <w:rsid w:val="00391F10"/>
    <w:rsid w:val="00393C40"/>
    <w:rsid w:val="00396527"/>
    <w:rsid w:val="003966C4"/>
    <w:rsid w:val="003969FA"/>
    <w:rsid w:val="003A011A"/>
    <w:rsid w:val="003A159A"/>
    <w:rsid w:val="003A2DD8"/>
    <w:rsid w:val="003A395D"/>
    <w:rsid w:val="003A3D84"/>
    <w:rsid w:val="003A4260"/>
    <w:rsid w:val="003A42E4"/>
    <w:rsid w:val="003A47E8"/>
    <w:rsid w:val="003A511E"/>
    <w:rsid w:val="003A54D6"/>
    <w:rsid w:val="003A57E4"/>
    <w:rsid w:val="003A63A6"/>
    <w:rsid w:val="003A67C3"/>
    <w:rsid w:val="003A6E5F"/>
    <w:rsid w:val="003A71F5"/>
    <w:rsid w:val="003A7C8E"/>
    <w:rsid w:val="003B02B5"/>
    <w:rsid w:val="003B0E08"/>
    <w:rsid w:val="003B1275"/>
    <w:rsid w:val="003B17F7"/>
    <w:rsid w:val="003B18A3"/>
    <w:rsid w:val="003B19B4"/>
    <w:rsid w:val="003B1A88"/>
    <w:rsid w:val="003B1BD4"/>
    <w:rsid w:val="003B2967"/>
    <w:rsid w:val="003B2D73"/>
    <w:rsid w:val="003B3374"/>
    <w:rsid w:val="003B3CF2"/>
    <w:rsid w:val="003B529E"/>
    <w:rsid w:val="003B5C76"/>
    <w:rsid w:val="003B5D40"/>
    <w:rsid w:val="003B5E99"/>
    <w:rsid w:val="003B697F"/>
    <w:rsid w:val="003C1A60"/>
    <w:rsid w:val="003C270C"/>
    <w:rsid w:val="003C342B"/>
    <w:rsid w:val="003C3ACF"/>
    <w:rsid w:val="003C49B3"/>
    <w:rsid w:val="003C4B61"/>
    <w:rsid w:val="003C6D4C"/>
    <w:rsid w:val="003C6FB3"/>
    <w:rsid w:val="003D118A"/>
    <w:rsid w:val="003D1838"/>
    <w:rsid w:val="003D19BA"/>
    <w:rsid w:val="003D1F52"/>
    <w:rsid w:val="003D1FC3"/>
    <w:rsid w:val="003D4177"/>
    <w:rsid w:val="003D5AA3"/>
    <w:rsid w:val="003D5C7A"/>
    <w:rsid w:val="003D5F64"/>
    <w:rsid w:val="003D646D"/>
    <w:rsid w:val="003D74D6"/>
    <w:rsid w:val="003E0BFD"/>
    <w:rsid w:val="003E2CEA"/>
    <w:rsid w:val="003E2FA5"/>
    <w:rsid w:val="003E316A"/>
    <w:rsid w:val="003E48DE"/>
    <w:rsid w:val="003E540D"/>
    <w:rsid w:val="003E6032"/>
    <w:rsid w:val="003E62DE"/>
    <w:rsid w:val="003E6AC7"/>
    <w:rsid w:val="003E78CA"/>
    <w:rsid w:val="003F0201"/>
    <w:rsid w:val="003F0399"/>
    <w:rsid w:val="003F0F52"/>
    <w:rsid w:val="003F2027"/>
    <w:rsid w:val="003F36F0"/>
    <w:rsid w:val="003F4AD1"/>
    <w:rsid w:val="003F5033"/>
    <w:rsid w:val="003F506F"/>
    <w:rsid w:val="003F54EB"/>
    <w:rsid w:val="003F5CE2"/>
    <w:rsid w:val="003F6F31"/>
    <w:rsid w:val="003F7018"/>
    <w:rsid w:val="003F71E3"/>
    <w:rsid w:val="003F786D"/>
    <w:rsid w:val="00400BCB"/>
    <w:rsid w:val="0040108A"/>
    <w:rsid w:val="004010E6"/>
    <w:rsid w:val="004014E6"/>
    <w:rsid w:val="0040176B"/>
    <w:rsid w:val="00401BE2"/>
    <w:rsid w:val="00401CB2"/>
    <w:rsid w:val="00401EDD"/>
    <w:rsid w:val="00402A56"/>
    <w:rsid w:val="00402D34"/>
    <w:rsid w:val="004033FC"/>
    <w:rsid w:val="00405D09"/>
    <w:rsid w:val="00406083"/>
    <w:rsid w:val="00407072"/>
    <w:rsid w:val="00407E64"/>
    <w:rsid w:val="00407EA9"/>
    <w:rsid w:val="0041046C"/>
    <w:rsid w:val="00410CC2"/>
    <w:rsid w:val="00412D2B"/>
    <w:rsid w:val="004135BA"/>
    <w:rsid w:val="00413CF4"/>
    <w:rsid w:val="00413FF1"/>
    <w:rsid w:val="00415CF6"/>
    <w:rsid w:val="00416755"/>
    <w:rsid w:val="00417FDF"/>
    <w:rsid w:val="00420845"/>
    <w:rsid w:val="00420AB0"/>
    <w:rsid w:val="00420C40"/>
    <w:rsid w:val="004210C7"/>
    <w:rsid w:val="00422299"/>
    <w:rsid w:val="00423315"/>
    <w:rsid w:val="004234F8"/>
    <w:rsid w:val="004235A0"/>
    <w:rsid w:val="00423E9F"/>
    <w:rsid w:val="00423F6A"/>
    <w:rsid w:val="00423FC1"/>
    <w:rsid w:val="00424C1E"/>
    <w:rsid w:val="00424CC8"/>
    <w:rsid w:val="004253DC"/>
    <w:rsid w:val="004257C6"/>
    <w:rsid w:val="00425945"/>
    <w:rsid w:val="004259DA"/>
    <w:rsid w:val="00426696"/>
    <w:rsid w:val="00426797"/>
    <w:rsid w:val="00427AC8"/>
    <w:rsid w:val="00427D0D"/>
    <w:rsid w:val="00427DCC"/>
    <w:rsid w:val="0043075F"/>
    <w:rsid w:val="004312F4"/>
    <w:rsid w:val="004318C7"/>
    <w:rsid w:val="004321A8"/>
    <w:rsid w:val="00432274"/>
    <w:rsid w:val="00432B0A"/>
    <w:rsid w:val="00432CB4"/>
    <w:rsid w:val="00433059"/>
    <w:rsid w:val="00433ED1"/>
    <w:rsid w:val="00433FA2"/>
    <w:rsid w:val="00434A8D"/>
    <w:rsid w:val="004352C0"/>
    <w:rsid w:val="00435479"/>
    <w:rsid w:val="00435BE3"/>
    <w:rsid w:val="004363B0"/>
    <w:rsid w:val="0043748B"/>
    <w:rsid w:val="00441094"/>
    <w:rsid w:val="00442150"/>
    <w:rsid w:val="004426B3"/>
    <w:rsid w:val="00442BB4"/>
    <w:rsid w:val="004438A5"/>
    <w:rsid w:val="00443966"/>
    <w:rsid w:val="00443A5F"/>
    <w:rsid w:val="00443B89"/>
    <w:rsid w:val="0044458D"/>
    <w:rsid w:val="00444DA8"/>
    <w:rsid w:val="00444FEE"/>
    <w:rsid w:val="00445031"/>
    <w:rsid w:val="0044587A"/>
    <w:rsid w:val="00445FA1"/>
    <w:rsid w:val="004461E0"/>
    <w:rsid w:val="00446307"/>
    <w:rsid w:val="00446C5C"/>
    <w:rsid w:val="00446D49"/>
    <w:rsid w:val="00447672"/>
    <w:rsid w:val="0044791B"/>
    <w:rsid w:val="00447B08"/>
    <w:rsid w:val="00452666"/>
    <w:rsid w:val="00453130"/>
    <w:rsid w:val="0045394A"/>
    <w:rsid w:val="00455101"/>
    <w:rsid w:val="0045538D"/>
    <w:rsid w:val="00455AE5"/>
    <w:rsid w:val="00461599"/>
    <w:rsid w:val="00461F89"/>
    <w:rsid w:val="00462D39"/>
    <w:rsid w:val="004634E6"/>
    <w:rsid w:val="0046394C"/>
    <w:rsid w:val="00465777"/>
    <w:rsid w:val="00465DD2"/>
    <w:rsid w:val="0046645E"/>
    <w:rsid w:val="00466844"/>
    <w:rsid w:val="004678B9"/>
    <w:rsid w:val="00467E46"/>
    <w:rsid w:val="004714D9"/>
    <w:rsid w:val="00471665"/>
    <w:rsid w:val="00472683"/>
    <w:rsid w:val="00472CC4"/>
    <w:rsid w:val="0047333E"/>
    <w:rsid w:val="004735D1"/>
    <w:rsid w:val="00474E7C"/>
    <w:rsid w:val="00474F47"/>
    <w:rsid w:val="0047504A"/>
    <w:rsid w:val="0047546D"/>
    <w:rsid w:val="00475BF1"/>
    <w:rsid w:val="004778D1"/>
    <w:rsid w:val="00477E43"/>
    <w:rsid w:val="00477F6D"/>
    <w:rsid w:val="00481D1B"/>
    <w:rsid w:val="0048230C"/>
    <w:rsid w:val="00482D85"/>
    <w:rsid w:val="00483B5C"/>
    <w:rsid w:val="00483B71"/>
    <w:rsid w:val="00483C0E"/>
    <w:rsid w:val="00484343"/>
    <w:rsid w:val="00485A0B"/>
    <w:rsid w:val="00486421"/>
    <w:rsid w:val="00486833"/>
    <w:rsid w:val="00486D95"/>
    <w:rsid w:val="00486DC2"/>
    <w:rsid w:val="004877B5"/>
    <w:rsid w:val="00487F26"/>
    <w:rsid w:val="00490121"/>
    <w:rsid w:val="004903C6"/>
    <w:rsid w:val="004904AE"/>
    <w:rsid w:val="004904EB"/>
    <w:rsid w:val="00490BC9"/>
    <w:rsid w:val="0049138A"/>
    <w:rsid w:val="00492125"/>
    <w:rsid w:val="004921EE"/>
    <w:rsid w:val="004930B8"/>
    <w:rsid w:val="00493745"/>
    <w:rsid w:val="00494D81"/>
    <w:rsid w:val="00495511"/>
    <w:rsid w:val="00495E96"/>
    <w:rsid w:val="00496CF3"/>
    <w:rsid w:val="00497395"/>
    <w:rsid w:val="00497FF3"/>
    <w:rsid w:val="004A0897"/>
    <w:rsid w:val="004A1214"/>
    <w:rsid w:val="004A1821"/>
    <w:rsid w:val="004A2456"/>
    <w:rsid w:val="004A2EA1"/>
    <w:rsid w:val="004A3B6D"/>
    <w:rsid w:val="004A4E57"/>
    <w:rsid w:val="004A5856"/>
    <w:rsid w:val="004A6E9E"/>
    <w:rsid w:val="004A7253"/>
    <w:rsid w:val="004A76ED"/>
    <w:rsid w:val="004B040C"/>
    <w:rsid w:val="004B0CE9"/>
    <w:rsid w:val="004B1AEB"/>
    <w:rsid w:val="004B1B41"/>
    <w:rsid w:val="004B253D"/>
    <w:rsid w:val="004B429B"/>
    <w:rsid w:val="004B4615"/>
    <w:rsid w:val="004B4DFF"/>
    <w:rsid w:val="004B517B"/>
    <w:rsid w:val="004B5C79"/>
    <w:rsid w:val="004B69CC"/>
    <w:rsid w:val="004C00D5"/>
    <w:rsid w:val="004C2CFF"/>
    <w:rsid w:val="004C35D3"/>
    <w:rsid w:val="004C3A62"/>
    <w:rsid w:val="004C3E2A"/>
    <w:rsid w:val="004C575F"/>
    <w:rsid w:val="004C63BE"/>
    <w:rsid w:val="004C65E7"/>
    <w:rsid w:val="004C66E2"/>
    <w:rsid w:val="004C73A8"/>
    <w:rsid w:val="004C7460"/>
    <w:rsid w:val="004C7828"/>
    <w:rsid w:val="004C7DD1"/>
    <w:rsid w:val="004D0BFC"/>
    <w:rsid w:val="004D0F2F"/>
    <w:rsid w:val="004D20C9"/>
    <w:rsid w:val="004D21BD"/>
    <w:rsid w:val="004D2A24"/>
    <w:rsid w:val="004D2CFF"/>
    <w:rsid w:val="004D2E53"/>
    <w:rsid w:val="004D3378"/>
    <w:rsid w:val="004D4852"/>
    <w:rsid w:val="004D66C3"/>
    <w:rsid w:val="004E194A"/>
    <w:rsid w:val="004E1AA2"/>
    <w:rsid w:val="004E1F3B"/>
    <w:rsid w:val="004E2F6E"/>
    <w:rsid w:val="004E3014"/>
    <w:rsid w:val="004E3EA9"/>
    <w:rsid w:val="004E4E68"/>
    <w:rsid w:val="004E56D1"/>
    <w:rsid w:val="004E5B00"/>
    <w:rsid w:val="004F02F3"/>
    <w:rsid w:val="004F1AD2"/>
    <w:rsid w:val="004F25AE"/>
    <w:rsid w:val="004F2B4D"/>
    <w:rsid w:val="004F2FB8"/>
    <w:rsid w:val="004F39D3"/>
    <w:rsid w:val="004F5E9A"/>
    <w:rsid w:val="004F639F"/>
    <w:rsid w:val="004F6756"/>
    <w:rsid w:val="004F6DD6"/>
    <w:rsid w:val="00500693"/>
    <w:rsid w:val="00500781"/>
    <w:rsid w:val="00501338"/>
    <w:rsid w:val="00502803"/>
    <w:rsid w:val="00503366"/>
    <w:rsid w:val="00503C9D"/>
    <w:rsid w:val="00503FDB"/>
    <w:rsid w:val="005043C6"/>
    <w:rsid w:val="0050451D"/>
    <w:rsid w:val="00504631"/>
    <w:rsid w:val="00504783"/>
    <w:rsid w:val="005065DF"/>
    <w:rsid w:val="00507023"/>
    <w:rsid w:val="0050729A"/>
    <w:rsid w:val="0051147C"/>
    <w:rsid w:val="005115D7"/>
    <w:rsid w:val="005127C8"/>
    <w:rsid w:val="005130F7"/>
    <w:rsid w:val="00513910"/>
    <w:rsid w:val="0051399A"/>
    <w:rsid w:val="005139F6"/>
    <w:rsid w:val="00513B39"/>
    <w:rsid w:val="00513D53"/>
    <w:rsid w:val="00513E84"/>
    <w:rsid w:val="00513E8B"/>
    <w:rsid w:val="00514F3B"/>
    <w:rsid w:val="00515A0B"/>
    <w:rsid w:val="0051732A"/>
    <w:rsid w:val="005178C4"/>
    <w:rsid w:val="005221C3"/>
    <w:rsid w:val="0052263C"/>
    <w:rsid w:val="00523151"/>
    <w:rsid w:val="0052392E"/>
    <w:rsid w:val="00523EA2"/>
    <w:rsid w:val="00524512"/>
    <w:rsid w:val="00524BBD"/>
    <w:rsid w:val="00525C6F"/>
    <w:rsid w:val="00525D6A"/>
    <w:rsid w:val="00526114"/>
    <w:rsid w:val="00526756"/>
    <w:rsid w:val="00527899"/>
    <w:rsid w:val="00527F78"/>
    <w:rsid w:val="00527FBE"/>
    <w:rsid w:val="00534EE0"/>
    <w:rsid w:val="00536182"/>
    <w:rsid w:val="0053653F"/>
    <w:rsid w:val="00541836"/>
    <w:rsid w:val="005421E1"/>
    <w:rsid w:val="0054240E"/>
    <w:rsid w:val="00543297"/>
    <w:rsid w:val="00543611"/>
    <w:rsid w:val="00546301"/>
    <w:rsid w:val="0054741E"/>
    <w:rsid w:val="005500AF"/>
    <w:rsid w:val="00550EA7"/>
    <w:rsid w:val="00551CC0"/>
    <w:rsid w:val="005523A0"/>
    <w:rsid w:val="005529D4"/>
    <w:rsid w:val="005530AD"/>
    <w:rsid w:val="00553622"/>
    <w:rsid w:val="00553B6B"/>
    <w:rsid w:val="00554D71"/>
    <w:rsid w:val="005550D8"/>
    <w:rsid w:val="005553BD"/>
    <w:rsid w:val="005566A8"/>
    <w:rsid w:val="00556E28"/>
    <w:rsid w:val="00557A9E"/>
    <w:rsid w:val="00557FCC"/>
    <w:rsid w:val="005600E8"/>
    <w:rsid w:val="00560417"/>
    <w:rsid w:val="005610D1"/>
    <w:rsid w:val="00561220"/>
    <w:rsid w:val="00561467"/>
    <w:rsid w:val="00561FE9"/>
    <w:rsid w:val="00562B38"/>
    <w:rsid w:val="00562FBD"/>
    <w:rsid w:val="00563404"/>
    <w:rsid w:val="00563B53"/>
    <w:rsid w:val="0056435D"/>
    <w:rsid w:val="00564F9D"/>
    <w:rsid w:val="00566078"/>
    <w:rsid w:val="00566FA4"/>
    <w:rsid w:val="005674FD"/>
    <w:rsid w:val="00571609"/>
    <w:rsid w:val="00572B71"/>
    <w:rsid w:val="00573CDC"/>
    <w:rsid w:val="005740B1"/>
    <w:rsid w:val="005756C4"/>
    <w:rsid w:val="00577943"/>
    <w:rsid w:val="00580321"/>
    <w:rsid w:val="0058054A"/>
    <w:rsid w:val="005805BF"/>
    <w:rsid w:val="00580F91"/>
    <w:rsid w:val="0058125D"/>
    <w:rsid w:val="00581DA0"/>
    <w:rsid w:val="00582B26"/>
    <w:rsid w:val="00583887"/>
    <w:rsid w:val="005842F5"/>
    <w:rsid w:val="00584432"/>
    <w:rsid w:val="00584625"/>
    <w:rsid w:val="0058477D"/>
    <w:rsid w:val="0058500B"/>
    <w:rsid w:val="005851C6"/>
    <w:rsid w:val="00585A5B"/>
    <w:rsid w:val="00586603"/>
    <w:rsid w:val="0058681E"/>
    <w:rsid w:val="00586857"/>
    <w:rsid w:val="00590462"/>
    <w:rsid w:val="00590709"/>
    <w:rsid w:val="0059080D"/>
    <w:rsid w:val="005908E2"/>
    <w:rsid w:val="005909C4"/>
    <w:rsid w:val="00590B53"/>
    <w:rsid w:val="00591362"/>
    <w:rsid w:val="005915FC"/>
    <w:rsid w:val="00591777"/>
    <w:rsid w:val="00591DB4"/>
    <w:rsid w:val="00591DF4"/>
    <w:rsid w:val="00594652"/>
    <w:rsid w:val="0059485B"/>
    <w:rsid w:val="0059487A"/>
    <w:rsid w:val="0059498E"/>
    <w:rsid w:val="00594AB6"/>
    <w:rsid w:val="00595033"/>
    <w:rsid w:val="00595115"/>
    <w:rsid w:val="0059582E"/>
    <w:rsid w:val="00595E87"/>
    <w:rsid w:val="00596F56"/>
    <w:rsid w:val="0059702F"/>
    <w:rsid w:val="005A0733"/>
    <w:rsid w:val="005A0DA2"/>
    <w:rsid w:val="005A0FBD"/>
    <w:rsid w:val="005A276A"/>
    <w:rsid w:val="005A3801"/>
    <w:rsid w:val="005A49A8"/>
    <w:rsid w:val="005A6341"/>
    <w:rsid w:val="005A68CB"/>
    <w:rsid w:val="005A764F"/>
    <w:rsid w:val="005A7934"/>
    <w:rsid w:val="005B176B"/>
    <w:rsid w:val="005B178A"/>
    <w:rsid w:val="005B3EF1"/>
    <w:rsid w:val="005B4A31"/>
    <w:rsid w:val="005B5682"/>
    <w:rsid w:val="005B56A3"/>
    <w:rsid w:val="005B6F9F"/>
    <w:rsid w:val="005C0818"/>
    <w:rsid w:val="005C144D"/>
    <w:rsid w:val="005C24D8"/>
    <w:rsid w:val="005C2805"/>
    <w:rsid w:val="005C345A"/>
    <w:rsid w:val="005C3789"/>
    <w:rsid w:val="005C3A06"/>
    <w:rsid w:val="005C3ECC"/>
    <w:rsid w:val="005C45BB"/>
    <w:rsid w:val="005C4B80"/>
    <w:rsid w:val="005C4D5C"/>
    <w:rsid w:val="005C5880"/>
    <w:rsid w:val="005D0C5C"/>
    <w:rsid w:val="005D13CD"/>
    <w:rsid w:val="005D24C7"/>
    <w:rsid w:val="005D2D44"/>
    <w:rsid w:val="005D3B6F"/>
    <w:rsid w:val="005D4D63"/>
    <w:rsid w:val="005D53D0"/>
    <w:rsid w:val="005D5B00"/>
    <w:rsid w:val="005D5E70"/>
    <w:rsid w:val="005D71CC"/>
    <w:rsid w:val="005D7D70"/>
    <w:rsid w:val="005D7DD1"/>
    <w:rsid w:val="005E0832"/>
    <w:rsid w:val="005E0ADC"/>
    <w:rsid w:val="005E0B62"/>
    <w:rsid w:val="005E6332"/>
    <w:rsid w:val="005E7D6A"/>
    <w:rsid w:val="005F1042"/>
    <w:rsid w:val="005F17BF"/>
    <w:rsid w:val="005F1E2C"/>
    <w:rsid w:val="005F28F4"/>
    <w:rsid w:val="005F2F3E"/>
    <w:rsid w:val="005F4282"/>
    <w:rsid w:val="005F49BC"/>
    <w:rsid w:val="005F4C43"/>
    <w:rsid w:val="005F4E45"/>
    <w:rsid w:val="005F5097"/>
    <w:rsid w:val="005F6307"/>
    <w:rsid w:val="005F68AC"/>
    <w:rsid w:val="00600585"/>
    <w:rsid w:val="0060082E"/>
    <w:rsid w:val="006011C6"/>
    <w:rsid w:val="006019FB"/>
    <w:rsid w:val="00601BCA"/>
    <w:rsid w:val="006022E1"/>
    <w:rsid w:val="00602C21"/>
    <w:rsid w:val="00603265"/>
    <w:rsid w:val="00603445"/>
    <w:rsid w:val="00605412"/>
    <w:rsid w:val="006058C9"/>
    <w:rsid w:val="006067CC"/>
    <w:rsid w:val="00606D88"/>
    <w:rsid w:val="00606FFF"/>
    <w:rsid w:val="00610D1B"/>
    <w:rsid w:val="00611470"/>
    <w:rsid w:val="006124F4"/>
    <w:rsid w:val="00612AE5"/>
    <w:rsid w:val="00612F57"/>
    <w:rsid w:val="00613D45"/>
    <w:rsid w:val="006142D3"/>
    <w:rsid w:val="00614C83"/>
    <w:rsid w:val="00614D7C"/>
    <w:rsid w:val="0061519E"/>
    <w:rsid w:val="00616FFC"/>
    <w:rsid w:val="00617A64"/>
    <w:rsid w:val="00617D6F"/>
    <w:rsid w:val="00621EAE"/>
    <w:rsid w:val="0062269E"/>
    <w:rsid w:val="006229B2"/>
    <w:rsid w:val="00623345"/>
    <w:rsid w:val="00626CF1"/>
    <w:rsid w:val="00627E6F"/>
    <w:rsid w:val="006309F6"/>
    <w:rsid w:val="00631637"/>
    <w:rsid w:val="00631B6E"/>
    <w:rsid w:val="00632694"/>
    <w:rsid w:val="00632731"/>
    <w:rsid w:val="0063292B"/>
    <w:rsid w:val="006330B3"/>
    <w:rsid w:val="006332AF"/>
    <w:rsid w:val="006340FF"/>
    <w:rsid w:val="00634A70"/>
    <w:rsid w:val="006350C8"/>
    <w:rsid w:val="00635166"/>
    <w:rsid w:val="006357C5"/>
    <w:rsid w:val="006401AF"/>
    <w:rsid w:val="006405E3"/>
    <w:rsid w:val="0064124F"/>
    <w:rsid w:val="0064149B"/>
    <w:rsid w:val="006431D1"/>
    <w:rsid w:val="00643E74"/>
    <w:rsid w:val="00644D8C"/>
    <w:rsid w:val="00646062"/>
    <w:rsid w:val="006472BF"/>
    <w:rsid w:val="00647721"/>
    <w:rsid w:val="0064786E"/>
    <w:rsid w:val="00650D03"/>
    <w:rsid w:val="00651F6F"/>
    <w:rsid w:val="006529C9"/>
    <w:rsid w:val="00652DA0"/>
    <w:rsid w:val="00653746"/>
    <w:rsid w:val="006556DD"/>
    <w:rsid w:val="00657FB3"/>
    <w:rsid w:val="00660822"/>
    <w:rsid w:val="00660C81"/>
    <w:rsid w:val="0066158D"/>
    <w:rsid w:val="00661899"/>
    <w:rsid w:val="00662F01"/>
    <w:rsid w:val="00662FFD"/>
    <w:rsid w:val="0066335D"/>
    <w:rsid w:val="00663D56"/>
    <w:rsid w:val="00663EE7"/>
    <w:rsid w:val="006647BC"/>
    <w:rsid w:val="006651BF"/>
    <w:rsid w:val="006663A1"/>
    <w:rsid w:val="0066659E"/>
    <w:rsid w:val="0066718C"/>
    <w:rsid w:val="006673D6"/>
    <w:rsid w:val="00667A59"/>
    <w:rsid w:val="006727B5"/>
    <w:rsid w:val="006729AE"/>
    <w:rsid w:val="006731CA"/>
    <w:rsid w:val="00673369"/>
    <w:rsid w:val="00673783"/>
    <w:rsid w:val="0067455B"/>
    <w:rsid w:val="00674865"/>
    <w:rsid w:val="00674A63"/>
    <w:rsid w:val="00674CBC"/>
    <w:rsid w:val="00675AA7"/>
    <w:rsid w:val="00676029"/>
    <w:rsid w:val="00680101"/>
    <w:rsid w:val="00680DDA"/>
    <w:rsid w:val="00681A29"/>
    <w:rsid w:val="00682D57"/>
    <w:rsid w:val="006842D9"/>
    <w:rsid w:val="006851B7"/>
    <w:rsid w:val="00685777"/>
    <w:rsid w:val="00685BFC"/>
    <w:rsid w:val="00685CC3"/>
    <w:rsid w:val="00686DA4"/>
    <w:rsid w:val="0068734C"/>
    <w:rsid w:val="006878D5"/>
    <w:rsid w:val="00690D42"/>
    <w:rsid w:val="006927E5"/>
    <w:rsid w:val="00694C33"/>
    <w:rsid w:val="00696628"/>
    <w:rsid w:val="00696C62"/>
    <w:rsid w:val="00697225"/>
    <w:rsid w:val="00697558"/>
    <w:rsid w:val="00697765"/>
    <w:rsid w:val="00697ABC"/>
    <w:rsid w:val="006A1789"/>
    <w:rsid w:val="006A1E89"/>
    <w:rsid w:val="006A2FC7"/>
    <w:rsid w:val="006A5D9F"/>
    <w:rsid w:val="006A6033"/>
    <w:rsid w:val="006A665D"/>
    <w:rsid w:val="006A7D6D"/>
    <w:rsid w:val="006A7FFD"/>
    <w:rsid w:val="006B01A4"/>
    <w:rsid w:val="006B2C24"/>
    <w:rsid w:val="006B3F01"/>
    <w:rsid w:val="006B4D27"/>
    <w:rsid w:val="006B5054"/>
    <w:rsid w:val="006B658A"/>
    <w:rsid w:val="006B6607"/>
    <w:rsid w:val="006B705C"/>
    <w:rsid w:val="006B7544"/>
    <w:rsid w:val="006B7F6B"/>
    <w:rsid w:val="006C01B2"/>
    <w:rsid w:val="006C0926"/>
    <w:rsid w:val="006C31DF"/>
    <w:rsid w:val="006C4444"/>
    <w:rsid w:val="006C452D"/>
    <w:rsid w:val="006C4668"/>
    <w:rsid w:val="006C4DA9"/>
    <w:rsid w:val="006C4FE5"/>
    <w:rsid w:val="006C5530"/>
    <w:rsid w:val="006C61BC"/>
    <w:rsid w:val="006C6258"/>
    <w:rsid w:val="006C62EF"/>
    <w:rsid w:val="006D0774"/>
    <w:rsid w:val="006D11EA"/>
    <w:rsid w:val="006D26FE"/>
    <w:rsid w:val="006D3209"/>
    <w:rsid w:val="006D3760"/>
    <w:rsid w:val="006D4E12"/>
    <w:rsid w:val="006D5C48"/>
    <w:rsid w:val="006D5F1E"/>
    <w:rsid w:val="006D666F"/>
    <w:rsid w:val="006D7836"/>
    <w:rsid w:val="006D7E63"/>
    <w:rsid w:val="006E0016"/>
    <w:rsid w:val="006E022A"/>
    <w:rsid w:val="006E06CC"/>
    <w:rsid w:val="006E0EBC"/>
    <w:rsid w:val="006E1B0B"/>
    <w:rsid w:val="006E2267"/>
    <w:rsid w:val="006E23C6"/>
    <w:rsid w:val="006E29C2"/>
    <w:rsid w:val="006E2C23"/>
    <w:rsid w:val="006E333A"/>
    <w:rsid w:val="006E354D"/>
    <w:rsid w:val="006E3E77"/>
    <w:rsid w:val="006E5071"/>
    <w:rsid w:val="006E561C"/>
    <w:rsid w:val="006E5D88"/>
    <w:rsid w:val="006E5F69"/>
    <w:rsid w:val="006E64C9"/>
    <w:rsid w:val="006E6E12"/>
    <w:rsid w:val="006E71BB"/>
    <w:rsid w:val="006E75B2"/>
    <w:rsid w:val="006F0052"/>
    <w:rsid w:val="006F0AEB"/>
    <w:rsid w:val="006F10C9"/>
    <w:rsid w:val="006F1A25"/>
    <w:rsid w:val="006F2450"/>
    <w:rsid w:val="006F2855"/>
    <w:rsid w:val="006F2E4F"/>
    <w:rsid w:val="006F39C9"/>
    <w:rsid w:val="006F571E"/>
    <w:rsid w:val="006F617F"/>
    <w:rsid w:val="006F64EB"/>
    <w:rsid w:val="006F6E4B"/>
    <w:rsid w:val="006F744D"/>
    <w:rsid w:val="007004BC"/>
    <w:rsid w:val="00700814"/>
    <w:rsid w:val="007026D0"/>
    <w:rsid w:val="00702CAE"/>
    <w:rsid w:val="00705B4C"/>
    <w:rsid w:val="0070662A"/>
    <w:rsid w:val="00706E44"/>
    <w:rsid w:val="00710BA6"/>
    <w:rsid w:val="00711413"/>
    <w:rsid w:val="00711444"/>
    <w:rsid w:val="00714635"/>
    <w:rsid w:val="0071482D"/>
    <w:rsid w:val="00715392"/>
    <w:rsid w:val="007159CE"/>
    <w:rsid w:val="00715B43"/>
    <w:rsid w:val="00715F1F"/>
    <w:rsid w:val="00716D01"/>
    <w:rsid w:val="007200DD"/>
    <w:rsid w:val="00720133"/>
    <w:rsid w:val="007203C4"/>
    <w:rsid w:val="0072074B"/>
    <w:rsid w:val="007208BF"/>
    <w:rsid w:val="00720971"/>
    <w:rsid w:val="007209E6"/>
    <w:rsid w:val="00720B47"/>
    <w:rsid w:val="00721494"/>
    <w:rsid w:val="0072244E"/>
    <w:rsid w:val="0072291B"/>
    <w:rsid w:val="00723A87"/>
    <w:rsid w:val="0072574A"/>
    <w:rsid w:val="00726A3A"/>
    <w:rsid w:val="00726D80"/>
    <w:rsid w:val="00726E08"/>
    <w:rsid w:val="007270DB"/>
    <w:rsid w:val="00727128"/>
    <w:rsid w:val="0072764B"/>
    <w:rsid w:val="00730BBB"/>
    <w:rsid w:val="00732032"/>
    <w:rsid w:val="00732118"/>
    <w:rsid w:val="007327C9"/>
    <w:rsid w:val="007336C1"/>
    <w:rsid w:val="00734102"/>
    <w:rsid w:val="00734855"/>
    <w:rsid w:val="00734BAE"/>
    <w:rsid w:val="00734FDF"/>
    <w:rsid w:val="00735E77"/>
    <w:rsid w:val="0073686B"/>
    <w:rsid w:val="00737A3B"/>
    <w:rsid w:val="00737E00"/>
    <w:rsid w:val="00737E96"/>
    <w:rsid w:val="00740BD8"/>
    <w:rsid w:val="00740BDB"/>
    <w:rsid w:val="00741F91"/>
    <w:rsid w:val="00742AE0"/>
    <w:rsid w:val="0074301D"/>
    <w:rsid w:val="007439C1"/>
    <w:rsid w:val="0074477F"/>
    <w:rsid w:val="00746A9A"/>
    <w:rsid w:val="007507A6"/>
    <w:rsid w:val="00750AF3"/>
    <w:rsid w:val="0075120A"/>
    <w:rsid w:val="007512A5"/>
    <w:rsid w:val="00752B6B"/>
    <w:rsid w:val="00753CEB"/>
    <w:rsid w:val="007544E2"/>
    <w:rsid w:val="007550A9"/>
    <w:rsid w:val="00760AA7"/>
    <w:rsid w:val="00760CB7"/>
    <w:rsid w:val="00761444"/>
    <w:rsid w:val="00761E50"/>
    <w:rsid w:val="00762EF6"/>
    <w:rsid w:val="0076363F"/>
    <w:rsid w:val="007639A6"/>
    <w:rsid w:val="00763CA7"/>
    <w:rsid w:val="00764508"/>
    <w:rsid w:val="00765173"/>
    <w:rsid w:val="00766310"/>
    <w:rsid w:val="0077031C"/>
    <w:rsid w:val="007703DB"/>
    <w:rsid w:val="00770821"/>
    <w:rsid w:val="007715E0"/>
    <w:rsid w:val="007721F7"/>
    <w:rsid w:val="0077357B"/>
    <w:rsid w:val="007739E4"/>
    <w:rsid w:val="00773EE3"/>
    <w:rsid w:val="0077426F"/>
    <w:rsid w:val="00774791"/>
    <w:rsid w:val="00774CBC"/>
    <w:rsid w:val="0077535F"/>
    <w:rsid w:val="00775651"/>
    <w:rsid w:val="007762DE"/>
    <w:rsid w:val="00777692"/>
    <w:rsid w:val="00780B4B"/>
    <w:rsid w:val="00780D3A"/>
    <w:rsid w:val="00780EC2"/>
    <w:rsid w:val="007819CA"/>
    <w:rsid w:val="0078206F"/>
    <w:rsid w:val="00782581"/>
    <w:rsid w:val="0078499C"/>
    <w:rsid w:val="00784BB7"/>
    <w:rsid w:val="0078792F"/>
    <w:rsid w:val="00787FB0"/>
    <w:rsid w:val="007919AE"/>
    <w:rsid w:val="00791EE0"/>
    <w:rsid w:val="00792D56"/>
    <w:rsid w:val="00793957"/>
    <w:rsid w:val="00794529"/>
    <w:rsid w:val="00794B6F"/>
    <w:rsid w:val="007954AD"/>
    <w:rsid w:val="00795537"/>
    <w:rsid w:val="0079689F"/>
    <w:rsid w:val="00796A05"/>
    <w:rsid w:val="00797378"/>
    <w:rsid w:val="007A081B"/>
    <w:rsid w:val="007A0CB1"/>
    <w:rsid w:val="007A2E9C"/>
    <w:rsid w:val="007A337C"/>
    <w:rsid w:val="007A4111"/>
    <w:rsid w:val="007A4130"/>
    <w:rsid w:val="007A640C"/>
    <w:rsid w:val="007A76DA"/>
    <w:rsid w:val="007B141E"/>
    <w:rsid w:val="007B144D"/>
    <w:rsid w:val="007B16D2"/>
    <w:rsid w:val="007B17D2"/>
    <w:rsid w:val="007B1CF3"/>
    <w:rsid w:val="007B2B00"/>
    <w:rsid w:val="007B30B7"/>
    <w:rsid w:val="007B3C8D"/>
    <w:rsid w:val="007B3F95"/>
    <w:rsid w:val="007B4935"/>
    <w:rsid w:val="007B4B45"/>
    <w:rsid w:val="007B56BD"/>
    <w:rsid w:val="007B5AD9"/>
    <w:rsid w:val="007B63B5"/>
    <w:rsid w:val="007B734B"/>
    <w:rsid w:val="007B795F"/>
    <w:rsid w:val="007C0CD7"/>
    <w:rsid w:val="007C212D"/>
    <w:rsid w:val="007C4E11"/>
    <w:rsid w:val="007C5F8D"/>
    <w:rsid w:val="007C612C"/>
    <w:rsid w:val="007D0217"/>
    <w:rsid w:val="007D0540"/>
    <w:rsid w:val="007D12A1"/>
    <w:rsid w:val="007D1422"/>
    <w:rsid w:val="007D1915"/>
    <w:rsid w:val="007D3942"/>
    <w:rsid w:val="007D4A63"/>
    <w:rsid w:val="007D5583"/>
    <w:rsid w:val="007D6BCD"/>
    <w:rsid w:val="007E0403"/>
    <w:rsid w:val="007E068A"/>
    <w:rsid w:val="007E141B"/>
    <w:rsid w:val="007E2682"/>
    <w:rsid w:val="007E268C"/>
    <w:rsid w:val="007E3126"/>
    <w:rsid w:val="007E42B5"/>
    <w:rsid w:val="007E4EBE"/>
    <w:rsid w:val="007E539D"/>
    <w:rsid w:val="007E57C6"/>
    <w:rsid w:val="007E5B2C"/>
    <w:rsid w:val="007E5D93"/>
    <w:rsid w:val="007E685E"/>
    <w:rsid w:val="007E68FD"/>
    <w:rsid w:val="007E7913"/>
    <w:rsid w:val="007F1313"/>
    <w:rsid w:val="007F1C73"/>
    <w:rsid w:val="007F295F"/>
    <w:rsid w:val="007F3991"/>
    <w:rsid w:val="007F39CB"/>
    <w:rsid w:val="007F47D0"/>
    <w:rsid w:val="007F5220"/>
    <w:rsid w:val="007F5404"/>
    <w:rsid w:val="007F6C8B"/>
    <w:rsid w:val="007F73E4"/>
    <w:rsid w:val="007F7D70"/>
    <w:rsid w:val="00802A63"/>
    <w:rsid w:val="008040A6"/>
    <w:rsid w:val="00806AA5"/>
    <w:rsid w:val="008075B2"/>
    <w:rsid w:val="00807EF2"/>
    <w:rsid w:val="0081155A"/>
    <w:rsid w:val="0081277F"/>
    <w:rsid w:val="0081437C"/>
    <w:rsid w:val="008145BD"/>
    <w:rsid w:val="0082051B"/>
    <w:rsid w:val="00820B91"/>
    <w:rsid w:val="00820FF8"/>
    <w:rsid w:val="008215FA"/>
    <w:rsid w:val="00822581"/>
    <w:rsid w:val="00822673"/>
    <w:rsid w:val="00822CE9"/>
    <w:rsid w:val="00823243"/>
    <w:rsid w:val="00823693"/>
    <w:rsid w:val="00825C00"/>
    <w:rsid w:val="00825EC2"/>
    <w:rsid w:val="0082603D"/>
    <w:rsid w:val="00830FB8"/>
    <w:rsid w:val="00831091"/>
    <w:rsid w:val="00831E2D"/>
    <w:rsid w:val="00831F20"/>
    <w:rsid w:val="008326BA"/>
    <w:rsid w:val="00832859"/>
    <w:rsid w:val="00832E97"/>
    <w:rsid w:val="00833163"/>
    <w:rsid w:val="00833189"/>
    <w:rsid w:val="008358B0"/>
    <w:rsid w:val="0083788A"/>
    <w:rsid w:val="00837E8D"/>
    <w:rsid w:val="00837EAF"/>
    <w:rsid w:val="0084006F"/>
    <w:rsid w:val="008400E1"/>
    <w:rsid w:val="00840299"/>
    <w:rsid w:val="00841A9A"/>
    <w:rsid w:val="00844F49"/>
    <w:rsid w:val="00845DA1"/>
    <w:rsid w:val="00846815"/>
    <w:rsid w:val="0084687F"/>
    <w:rsid w:val="00847A06"/>
    <w:rsid w:val="00847FC7"/>
    <w:rsid w:val="00850101"/>
    <w:rsid w:val="0085011A"/>
    <w:rsid w:val="008515E9"/>
    <w:rsid w:val="00851C01"/>
    <w:rsid w:val="00852379"/>
    <w:rsid w:val="00852838"/>
    <w:rsid w:val="00853319"/>
    <w:rsid w:val="008543A4"/>
    <w:rsid w:val="00854D10"/>
    <w:rsid w:val="00854FF0"/>
    <w:rsid w:val="0085582C"/>
    <w:rsid w:val="00855A0A"/>
    <w:rsid w:val="00855ECF"/>
    <w:rsid w:val="008561C0"/>
    <w:rsid w:val="008573D8"/>
    <w:rsid w:val="008577F3"/>
    <w:rsid w:val="0085789A"/>
    <w:rsid w:val="00857B3E"/>
    <w:rsid w:val="008600AE"/>
    <w:rsid w:val="008611F6"/>
    <w:rsid w:val="00862330"/>
    <w:rsid w:val="0086295C"/>
    <w:rsid w:val="00863C14"/>
    <w:rsid w:val="00863E8E"/>
    <w:rsid w:val="0086424E"/>
    <w:rsid w:val="00864DC4"/>
    <w:rsid w:val="00865943"/>
    <w:rsid w:val="00865FF9"/>
    <w:rsid w:val="00866D8A"/>
    <w:rsid w:val="00870860"/>
    <w:rsid w:val="00871E64"/>
    <w:rsid w:val="008724BE"/>
    <w:rsid w:val="00872726"/>
    <w:rsid w:val="0087329A"/>
    <w:rsid w:val="00873BE4"/>
    <w:rsid w:val="00874A84"/>
    <w:rsid w:val="00876518"/>
    <w:rsid w:val="008766B5"/>
    <w:rsid w:val="00877180"/>
    <w:rsid w:val="00877EDC"/>
    <w:rsid w:val="00877F33"/>
    <w:rsid w:val="008813FA"/>
    <w:rsid w:val="00881A54"/>
    <w:rsid w:val="0088240D"/>
    <w:rsid w:val="008836FF"/>
    <w:rsid w:val="008858AD"/>
    <w:rsid w:val="0088767F"/>
    <w:rsid w:val="0089010C"/>
    <w:rsid w:val="00890252"/>
    <w:rsid w:val="0089052B"/>
    <w:rsid w:val="008914F0"/>
    <w:rsid w:val="00891914"/>
    <w:rsid w:val="00892199"/>
    <w:rsid w:val="00892F48"/>
    <w:rsid w:val="0089303F"/>
    <w:rsid w:val="00893114"/>
    <w:rsid w:val="008931C0"/>
    <w:rsid w:val="00893DFE"/>
    <w:rsid w:val="00893EAA"/>
    <w:rsid w:val="00893F77"/>
    <w:rsid w:val="008941BF"/>
    <w:rsid w:val="008941C1"/>
    <w:rsid w:val="0089428F"/>
    <w:rsid w:val="0089557B"/>
    <w:rsid w:val="00895817"/>
    <w:rsid w:val="00895E33"/>
    <w:rsid w:val="0089603B"/>
    <w:rsid w:val="00896280"/>
    <w:rsid w:val="00896DE5"/>
    <w:rsid w:val="00897325"/>
    <w:rsid w:val="008977AD"/>
    <w:rsid w:val="008979EC"/>
    <w:rsid w:val="00897E8C"/>
    <w:rsid w:val="00897F1C"/>
    <w:rsid w:val="008A01F6"/>
    <w:rsid w:val="008A0D9B"/>
    <w:rsid w:val="008A4AB4"/>
    <w:rsid w:val="008A50B9"/>
    <w:rsid w:val="008A5180"/>
    <w:rsid w:val="008A5CB4"/>
    <w:rsid w:val="008A62DE"/>
    <w:rsid w:val="008A6630"/>
    <w:rsid w:val="008A72B2"/>
    <w:rsid w:val="008A760B"/>
    <w:rsid w:val="008A765B"/>
    <w:rsid w:val="008A7AB2"/>
    <w:rsid w:val="008B00AB"/>
    <w:rsid w:val="008B0207"/>
    <w:rsid w:val="008B026B"/>
    <w:rsid w:val="008B1E3C"/>
    <w:rsid w:val="008B2521"/>
    <w:rsid w:val="008B54D1"/>
    <w:rsid w:val="008B57B9"/>
    <w:rsid w:val="008B6A64"/>
    <w:rsid w:val="008B761B"/>
    <w:rsid w:val="008C01C1"/>
    <w:rsid w:val="008C0444"/>
    <w:rsid w:val="008C0D1C"/>
    <w:rsid w:val="008C196E"/>
    <w:rsid w:val="008C2C3F"/>
    <w:rsid w:val="008C2FD4"/>
    <w:rsid w:val="008C3922"/>
    <w:rsid w:val="008C3C50"/>
    <w:rsid w:val="008C3F0C"/>
    <w:rsid w:val="008C6CAF"/>
    <w:rsid w:val="008C6CE8"/>
    <w:rsid w:val="008C6E37"/>
    <w:rsid w:val="008D0108"/>
    <w:rsid w:val="008D1625"/>
    <w:rsid w:val="008D1A0C"/>
    <w:rsid w:val="008D1B33"/>
    <w:rsid w:val="008D3E5D"/>
    <w:rsid w:val="008D41FC"/>
    <w:rsid w:val="008D464A"/>
    <w:rsid w:val="008D5451"/>
    <w:rsid w:val="008D591E"/>
    <w:rsid w:val="008D5CD6"/>
    <w:rsid w:val="008D71D3"/>
    <w:rsid w:val="008D76E2"/>
    <w:rsid w:val="008D78B0"/>
    <w:rsid w:val="008E0D9B"/>
    <w:rsid w:val="008E0F37"/>
    <w:rsid w:val="008E1007"/>
    <w:rsid w:val="008E1F67"/>
    <w:rsid w:val="008E2175"/>
    <w:rsid w:val="008E25CF"/>
    <w:rsid w:val="008E2794"/>
    <w:rsid w:val="008E2EE8"/>
    <w:rsid w:val="008E320B"/>
    <w:rsid w:val="008E3221"/>
    <w:rsid w:val="008E383A"/>
    <w:rsid w:val="008E4A92"/>
    <w:rsid w:val="008E597B"/>
    <w:rsid w:val="008E6931"/>
    <w:rsid w:val="008F056C"/>
    <w:rsid w:val="008F1D4D"/>
    <w:rsid w:val="008F288A"/>
    <w:rsid w:val="008F38AC"/>
    <w:rsid w:val="008F5E34"/>
    <w:rsid w:val="008F6373"/>
    <w:rsid w:val="008F65BC"/>
    <w:rsid w:val="008F7D9F"/>
    <w:rsid w:val="0090119B"/>
    <w:rsid w:val="00903828"/>
    <w:rsid w:val="009038EE"/>
    <w:rsid w:val="00903E5B"/>
    <w:rsid w:val="0090551A"/>
    <w:rsid w:val="00905BB6"/>
    <w:rsid w:val="0090656B"/>
    <w:rsid w:val="00906B8E"/>
    <w:rsid w:val="009074DD"/>
    <w:rsid w:val="00907A9E"/>
    <w:rsid w:val="009101F7"/>
    <w:rsid w:val="0091082E"/>
    <w:rsid w:val="009123CE"/>
    <w:rsid w:val="00912A1D"/>
    <w:rsid w:val="00913DC7"/>
    <w:rsid w:val="00914148"/>
    <w:rsid w:val="00915D49"/>
    <w:rsid w:val="0091621C"/>
    <w:rsid w:val="0091663B"/>
    <w:rsid w:val="009168A9"/>
    <w:rsid w:val="00916B36"/>
    <w:rsid w:val="00916E45"/>
    <w:rsid w:val="009200FE"/>
    <w:rsid w:val="00920F50"/>
    <w:rsid w:val="00922C2F"/>
    <w:rsid w:val="009236AD"/>
    <w:rsid w:val="00923D04"/>
    <w:rsid w:val="00925BF9"/>
    <w:rsid w:val="0092613A"/>
    <w:rsid w:val="0092749E"/>
    <w:rsid w:val="0093030A"/>
    <w:rsid w:val="009313B8"/>
    <w:rsid w:val="00931553"/>
    <w:rsid w:val="00931737"/>
    <w:rsid w:val="009317CC"/>
    <w:rsid w:val="00931CFA"/>
    <w:rsid w:val="009332E1"/>
    <w:rsid w:val="009348FE"/>
    <w:rsid w:val="00935432"/>
    <w:rsid w:val="00936D7F"/>
    <w:rsid w:val="009373BE"/>
    <w:rsid w:val="0093788E"/>
    <w:rsid w:val="00940DBA"/>
    <w:rsid w:val="009410D2"/>
    <w:rsid w:val="0094167F"/>
    <w:rsid w:val="00941D48"/>
    <w:rsid w:val="009424B1"/>
    <w:rsid w:val="009439DB"/>
    <w:rsid w:val="00943A68"/>
    <w:rsid w:val="00945A85"/>
    <w:rsid w:val="00947949"/>
    <w:rsid w:val="00952066"/>
    <w:rsid w:val="009526AE"/>
    <w:rsid w:val="00953097"/>
    <w:rsid w:val="00953949"/>
    <w:rsid w:val="00954D22"/>
    <w:rsid w:val="009556F8"/>
    <w:rsid w:val="00955938"/>
    <w:rsid w:val="00956102"/>
    <w:rsid w:val="009579F1"/>
    <w:rsid w:val="00957AAB"/>
    <w:rsid w:val="009613EC"/>
    <w:rsid w:val="009624A8"/>
    <w:rsid w:val="009648E3"/>
    <w:rsid w:val="00966569"/>
    <w:rsid w:val="00966FB2"/>
    <w:rsid w:val="00967278"/>
    <w:rsid w:val="00967364"/>
    <w:rsid w:val="00967A3B"/>
    <w:rsid w:val="00967C7C"/>
    <w:rsid w:val="00967CAE"/>
    <w:rsid w:val="00967EA8"/>
    <w:rsid w:val="00970A3B"/>
    <w:rsid w:val="00972A41"/>
    <w:rsid w:val="00972BA6"/>
    <w:rsid w:val="0097382C"/>
    <w:rsid w:val="009744E0"/>
    <w:rsid w:val="009749E1"/>
    <w:rsid w:val="00975662"/>
    <w:rsid w:val="009756A6"/>
    <w:rsid w:val="00975ECB"/>
    <w:rsid w:val="00976031"/>
    <w:rsid w:val="009761FC"/>
    <w:rsid w:val="00976482"/>
    <w:rsid w:val="0097716C"/>
    <w:rsid w:val="00980EAC"/>
    <w:rsid w:val="00982242"/>
    <w:rsid w:val="009826B9"/>
    <w:rsid w:val="009831D1"/>
    <w:rsid w:val="00984672"/>
    <w:rsid w:val="00984C02"/>
    <w:rsid w:val="009850DD"/>
    <w:rsid w:val="009863AD"/>
    <w:rsid w:val="00986BD9"/>
    <w:rsid w:val="00987155"/>
    <w:rsid w:val="009923E4"/>
    <w:rsid w:val="00992C1A"/>
    <w:rsid w:val="00993383"/>
    <w:rsid w:val="009955DC"/>
    <w:rsid w:val="009960F0"/>
    <w:rsid w:val="009961E1"/>
    <w:rsid w:val="009961FD"/>
    <w:rsid w:val="00996593"/>
    <w:rsid w:val="009966C9"/>
    <w:rsid w:val="00996D7B"/>
    <w:rsid w:val="00997121"/>
    <w:rsid w:val="009973FE"/>
    <w:rsid w:val="00997E0E"/>
    <w:rsid w:val="009A14B5"/>
    <w:rsid w:val="009A1D4E"/>
    <w:rsid w:val="009A1E2B"/>
    <w:rsid w:val="009A29DB"/>
    <w:rsid w:val="009A3AF8"/>
    <w:rsid w:val="009A3C0F"/>
    <w:rsid w:val="009A645A"/>
    <w:rsid w:val="009A6896"/>
    <w:rsid w:val="009A713C"/>
    <w:rsid w:val="009A7AA5"/>
    <w:rsid w:val="009B1492"/>
    <w:rsid w:val="009B1FA3"/>
    <w:rsid w:val="009B3641"/>
    <w:rsid w:val="009B6257"/>
    <w:rsid w:val="009B76A5"/>
    <w:rsid w:val="009B799D"/>
    <w:rsid w:val="009B7D48"/>
    <w:rsid w:val="009B7DE6"/>
    <w:rsid w:val="009C1F5F"/>
    <w:rsid w:val="009C2092"/>
    <w:rsid w:val="009C2342"/>
    <w:rsid w:val="009C249D"/>
    <w:rsid w:val="009C2771"/>
    <w:rsid w:val="009C2CF6"/>
    <w:rsid w:val="009C436E"/>
    <w:rsid w:val="009C496B"/>
    <w:rsid w:val="009C5DA2"/>
    <w:rsid w:val="009C6734"/>
    <w:rsid w:val="009C78B7"/>
    <w:rsid w:val="009C7CA5"/>
    <w:rsid w:val="009D0F6D"/>
    <w:rsid w:val="009D203B"/>
    <w:rsid w:val="009D2827"/>
    <w:rsid w:val="009D2C45"/>
    <w:rsid w:val="009D3DC9"/>
    <w:rsid w:val="009D4044"/>
    <w:rsid w:val="009D4669"/>
    <w:rsid w:val="009D6811"/>
    <w:rsid w:val="009D7EBA"/>
    <w:rsid w:val="009E0114"/>
    <w:rsid w:val="009E0170"/>
    <w:rsid w:val="009E0729"/>
    <w:rsid w:val="009E199D"/>
    <w:rsid w:val="009E19B8"/>
    <w:rsid w:val="009E210D"/>
    <w:rsid w:val="009E2AE4"/>
    <w:rsid w:val="009E36A1"/>
    <w:rsid w:val="009E462C"/>
    <w:rsid w:val="009E477E"/>
    <w:rsid w:val="009E49D5"/>
    <w:rsid w:val="009E4C70"/>
    <w:rsid w:val="009E4FB2"/>
    <w:rsid w:val="009E5120"/>
    <w:rsid w:val="009E5A15"/>
    <w:rsid w:val="009E5B2F"/>
    <w:rsid w:val="009E5E2E"/>
    <w:rsid w:val="009E61C0"/>
    <w:rsid w:val="009E6844"/>
    <w:rsid w:val="009E6951"/>
    <w:rsid w:val="009F1919"/>
    <w:rsid w:val="009F2413"/>
    <w:rsid w:val="009F2526"/>
    <w:rsid w:val="009F2638"/>
    <w:rsid w:val="009F320F"/>
    <w:rsid w:val="009F3313"/>
    <w:rsid w:val="009F3CD1"/>
    <w:rsid w:val="009F4FE8"/>
    <w:rsid w:val="009F51E7"/>
    <w:rsid w:val="009F563A"/>
    <w:rsid w:val="009F6F50"/>
    <w:rsid w:val="009F7180"/>
    <w:rsid w:val="00A01ADB"/>
    <w:rsid w:val="00A01B33"/>
    <w:rsid w:val="00A01B41"/>
    <w:rsid w:val="00A01C70"/>
    <w:rsid w:val="00A02268"/>
    <w:rsid w:val="00A025D1"/>
    <w:rsid w:val="00A02FFE"/>
    <w:rsid w:val="00A03099"/>
    <w:rsid w:val="00A04E79"/>
    <w:rsid w:val="00A04EF7"/>
    <w:rsid w:val="00A054D8"/>
    <w:rsid w:val="00A05549"/>
    <w:rsid w:val="00A0628F"/>
    <w:rsid w:val="00A06730"/>
    <w:rsid w:val="00A104D1"/>
    <w:rsid w:val="00A110E2"/>
    <w:rsid w:val="00A12B91"/>
    <w:rsid w:val="00A14147"/>
    <w:rsid w:val="00A1468C"/>
    <w:rsid w:val="00A15910"/>
    <w:rsid w:val="00A1621D"/>
    <w:rsid w:val="00A163A7"/>
    <w:rsid w:val="00A1759C"/>
    <w:rsid w:val="00A179A5"/>
    <w:rsid w:val="00A17EE3"/>
    <w:rsid w:val="00A2059E"/>
    <w:rsid w:val="00A21BED"/>
    <w:rsid w:val="00A22438"/>
    <w:rsid w:val="00A225FA"/>
    <w:rsid w:val="00A22CF9"/>
    <w:rsid w:val="00A24A31"/>
    <w:rsid w:val="00A25874"/>
    <w:rsid w:val="00A26E04"/>
    <w:rsid w:val="00A26EBF"/>
    <w:rsid w:val="00A26F40"/>
    <w:rsid w:val="00A271FD"/>
    <w:rsid w:val="00A27218"/>
    <w:rsid w:val="00A27A2D"/>
    <w:rsid w:val="00A31B9E"/>
    <w:rsid w:val="00A32E47"/>
    <w:rsid w:val="00A33295"/>
    <w:rsid w:val="00A33751"/>
    <w:rsid w:val="00A337D4"/>
    <w:rsid w:val="00A34133"/>
    <w:rsid w:val="00A355EE"/>
    <w:rsid w:val="00A358F2"/>
    <w:rsid w:val="00A35A54"/>
    <w:rsid w:val="00A365AE"/>
    <w:rsid w:val="00A36B42"/>
    <w:rsid w:val="00A36C69"/>
    <w:rsid w:val="00A36C7A"/>
    <w:rsid w:val="00A37F2D"/>
    <w:rsid w:val="00A402EB"/>
    <w:rsid w:val="00A40739"/>
    <w:rsid w:val="00A40A09"/>
    <w:rsid w:val="00A40E5D"/>
    <w:rsid w:val="00A4260F"/>
    <w:rsid w:val="00A44A9A"/>
    <w:rsid w:val="00A45115"/>
    <w:rsid w:val="00A456A7"/>
    <w:rsid w:val="00A45FBF"/>
    <w:rsid w:val="00A5021F"/>
    <w:rsid w:val="00A50396"/>
    <w:rsid w:val="00A50BA3"/>
    <w:rsid w:val="00A513E5"/>
    <w:rsid w:val="00A517B1"/>
    <w:rsid w:val="00A51E7F"/>
    <w:rsid w:val="00A5212B"/>
    <w:rsid w:val="00A52468"/>
    <w:rsid w:val="00A5333D"/>
    <w:rsid w:val="00A53727"/>
    <w:rsid w:val="00A53753"/>
    <w:rsid w:val="00A53D39"/>
    <w:rsid w:val="00A55465"/>
    <w:rsid w:val="00A5633E"/>
    <w:rsid w:val="00A563FE"/>
    <w:rsid w:val="00A56533"/>
    <w:rsid w:val="00A56721"/>
    <w:rsid w:val="00A56F6E"/>
    <w:rsid w:val="00A5709E"/>
    <w:rsid w:val="00A570F3"/>
    <w:rsid w:val="00A57DB7"/>
    <w:rsid w:val="00A60621"/>
    <w:rsid w:val="00A61931"/>
    <w:rsid w:val="00A624B2"/>
    <w:rsid w:val="00A631F3"/>
    <w:rsid w:val="00A645C0"/>
    <w:rsid w:val="00A65929"/>
    <w:rsid w:val="00A65BBC"/>
    <w:rsid w:val="00A705BA"/>
    <w:rsid w:val="00A7141E"/>
    <w:rsid w:val="00A723E1"/>
    <w:rsid w:val="00A72448"/>
    <w:rsid w:val="00A7294C"/>
    <w:rsid w:val="00A72D07"/>
    <w:rsid w:val="00A73902"/>
    <w:rsid w:val="00A73B9B"/>
    <w:rsid w:val="00A74420"/>
    <w:rsid w:val="00A744E9"/>
    <w:rsid w:val="00A74746"/>
    <w:rsid w:val="00A74DCA"/>
    <w:rsid w:val="00A76080"/>
    <w:rsid w:val="00A7628A"/>
    <w:rsid w:val="00A7648C"/>
    <w:rsid w:val="00A76918"/>
    <w:rsid w:val="00A77891"/>
    <w:rsid w:val="00A779BF"/>
    <w:rsid w:val="00A8251F"/>
    <w:rsid w:val="00A828E6"/>
    <w:rsid w:val="00A8392C"/>
    <w:rsid w:val="00A83DF3"/>
    <w:rsid w:val="00A841A2"/>
    <w:rsid w:val="00A8498E"/>
    <w:rsid w:val="00A84BBB"/>
    <w:rsid w:val="00A852CE"/>
    <w:rsid w:val="00A854EE"/>
    <w:rsid w:val="00A8567D"/>
    <w:rsid w:val="00A86FCC"/>
    <w:rsid w:val="00A8770B"/>
    <w:rsid w:val="00A879D3"/>
    <w:rsid w:val="00A91BD2"/>
    <w:rsid w:val="00A9275D"/>
    <w:rsid w:val="00A93562"/>
    <w:rsid w:val="00A94380"/>
    <w:rsid w:val="00A94625"/>
    <w:rsid w:val="00A94862"/>
    <w:rsid w:val="00A94B33"/>
    <w:rsid w:val="00A94E93"/>
    <w:rsid w:val="00A951FE"/>
    <w:rsid w:val="00A97253"/>
    <w:rsid w:val="00A97B3E"/>
    <w:rsid w:val="00A97D95"/>
    <w:rsid w:val="00AA0F66"/>
    <w:rsid w:val="00AA120C"/>
    <w:rsid w:val="00AA221E"/>
    <w:rsid w:val="00AA222B"/>
    <w:rsid w:val="00AA2F29"/>
    <w:rsid w:val="00AA4556"/>
    <w:rsid w:val="00AA462D"/>
    <w:rsid w:val="00AA463B"/>
    <w:rsid w:val="00AA50D6"/>
    <w:rsid w:val="00AA619E"/>
    <w:rsid w:val="00AA6BDB"/>
    <w:rsid w:val="00AB0E32"/>
    <w:rsid w:val="00AB1826"/>
    <w:rsid w:val="00AB1AEA"/>
    <w:rsid w:val="00AB2C88"/>
    <w:rsid w:val="00AB3E4C"/>
    <w:rsid w:val="00AB4390"/>
    <w:rsid w:val="00AB4C67"/>
    <w:rsid w:val="00AB77D8"/>
    <w:rsid w:val="00AB79FD"/>
    <w:rsid w:val="00AB7EF2"/>
    <w:rsid w:val="00AC13E5"/>
    <w:rsid w:val="00AC1B96"/>
    <w:rsid w:val="00AC1F28"/>
    <w:rsid w:val="00AC2460"/>
    <w:rsid w:val="00AC253D"/>
    <w:rsid w:val="00AC2746"/>
    <w:rsid w:val="00AC404C"/>
    <w:rsid w:val="00AC734B"/>
    <w:rsid w:val="00AD0367"/>
    <w:rsid w:val="00AD06D8"/>
    <w:rsid w:val="00AD079C"/>
    <w:rsid w:val="00AD0879"/>
    <w:rsid w:val="00AD17F0"/>
    <w:rsid w:val="00AD19FF"/>
    <w:rsid w:val="00AD1FBB"/>
    <w:rsid w:val="00AD2A14"/>
    <w:rsid w:val="00AD2D32"/>
    <w:rsid w:val="00AD37E2"/>
    <w:rsid w:val="00AD520B"/>
    <w:rsid w:val="00AD536E"/>
    <w:rsid w:val="00AD5B4F"/>
    <w:rsid w:val="00AD6947"/>
    <w:rsid w:val="00AE0101"/>
    <w:rsid w:val="00AE02C5"/>
    <w:rsid w:val="00AE0E61"/>
    <w:rsid w:val="00AE2E55"/>
    <w:rsid w:val="00AE40C4"/>
    <w:rsid w:val="00AE4E87"/>
    <w:rsid w:val="00AE7098"/>
    <w:rsid w:val="00AE7FCF"/>
    <w:rsid w:val="00AF0B32"/>
    <w:rsid w:val="00AF0D21"/>
    <w:rsid w:val="00AF0E30"/>
    <w:rsid w:val="00AF1246"/>
    <w:rsid w:val="00AF2DA3"/>
    <w:rsid w:val="00AF4C37"/>
    <w:rsid w:val="00AF5AC2"/>
    <w:rsid w:val="00AF6B82"/>
    <w:rsid w:val="00AF7BF6"/>
    <w:rsid w:val="00AF7E59"/>
    <w:rsid w:val="00B01381"/>
    <w:rsid w:val="00B01B68"/>
    <w:rsid w:val="00B01BA9"/>
    <w:rsid w:val="00B01DD0"/>
    <w:rsid w:val="00B02991"/>
    <w:rsid w:val="00B02A24"/>
    <w:rsid w:val="00B02CF8"/>
    <w:rsid w:val="00B03DB0"/>
    <w:rsid w:val="00B03F51"/>
    <w:rsid w:val="00B041DB"/>
    <w:rsid w:val="00B057AC"/>
    <w:rsid w:val="00B057CA"/>
    <w:rsid w:val="00B065D7"/>
    <w:rsid w:val="00B068C0"/>
    <w:rsid w:val="00B1029E"/>
    <w:rsid w:val="00B10789"/>
    <w:rsid w:val="00B118FC"/>
    <w:rsid w:val="00B122D5"/>
    <w:rsid w:val="00B12450"/>
    <w:rsid w:val="00B1273A"/>
    <w:rsid w:val="00B13A33"/>
    <w:rsid w:val="00B13F4D"/>
    <w:rsid w:val="00B14326"/>
    <w:rsid w:val="00B158C9"/>
    <w:rsid w:val="00B15DD5"/>
    <w:rsid w:val="00B1747C"/>
    <w:rsid w:val="00B20C21"/>
    <w:rsid w:val="00B20D36"/>
    <w:rsid w:val="00B20F19"/>
    <w:rsid w:val="00B221FC"/>
    <w:rsid w:val="00B22EA1"/>
    <w:rsid w:val="00B25368"/>
    <w:rsid w:val="00B255BF"/>
    <w:rsid w:val="00B25ED6"/>
    <w:rsid w:val="00B26CBE"/>
    <w:rsid w:val="00B300D8"/>
    <w:rsid w:val="00B30D41"/>
    <w:rsid w:val="00B310BC"/>
    <w:rsid w:val="00B3174D"/>
    <w:rsid w:val="00B31C2C"/>
    <w:rsid w:val="00B322C5"/>
    <w:rsid w:val="00B33714"/>
    <w:rsid w:val="00B342BD"/>
    <w:rsid w:val="00B35CFA"/>
    <w:rsid w:val="00B36163"/>
    <w:rsid w:val="00B36F7D"/>
    <w:rsid w:val="00B374A8"/>
    <w:rsid w:val="00B375B5"/>
    <w:rsid w:val="00B403F9"/>
    <w:rsid w:val="00B41809"/>
    <w:rsid w:val="00B426F5"/>
    <w:rsid w:val="00B431A8"/>
    <w:rsid w:val="00B436E7"/>
    <w:rsid w:val="00B447E2"/>
    <w:rsid w:val="00B4677E"/>
    <w:rsid w:val="00B46F3E"/>
    <w:rsid w:val="00B473B3"/>
    <w:rsid w:val="00B47671"/>
    <w:rsid w:val="00B50D40"/>
    <w:rsid w:val="00B517E3"/>
    <w:rsid w:val="00B51A0E"/>
    <w:rsid w:val="00B524EC"/>
    <w:rsid w:val="00B52D08"/>
    <w:rsid w:val="00B53019"/>
    <w:rsid w:val="00B53B6A"/>
    <w:rsid w:val="00B53C65"/>
    <w:rsid w:val="00B5432D"/>
    <w:rsid w:val="00B54C0D"/>
    <w:rsid w:val="00B54F3D"/>
    <w:rsid w:val="00B560BB"/>
    <w:rsid w:val="00B56151"/>
    <w:rsid w:val="00B566AD"/>
    <w:rsid w:val="00B56A59"/>
    <w:rsid w:val="00B56F4D"/>
    <w:rsid w:val="00B57027"/>
    <w:rsid w:val="00B57A7B"/>
    <w:rsid w:val="00B57B70"/>
    <w:rsid w:val="00B60554"/>
    <w:rsid w:val="00B6198A"/>
    <w:rsid w:val="00B61B96"/>
    <w:rsid w:val="00B626E5"/>
    <w:rsid w:val="00B6287D"/>
    <w:rsid w:val="00B630B3"/>
    <w:rsid w:val="00B63279"/>
    <w:rsid w:val="00B6372C"/>
    <w:rsid w:val="00B64060"/>
    <w:rsid w:val="00B65264"/>
    <w:rsid w:val="00B65D58"/>
    <w:rsid w:val="00B65EAD"/>
    <w:rsid w:val="00B671B2"/>
    <w:rsid w:val="00B672AE"/>
    <w:rsid w:val="00B67FAD"/>
    <w:rsid w:val="00B702D8"/>
    <w:rsid w:val="00B70BD5"/>
    <w:rsid w:val="00B71169"/>
    <w:rsid w:val="00B71D46"/>
    <w:rsid w:val="00B73FD4"/>
    <w:rsid w:val="00B74391"/>
    <w:rsid w:val="00B74524"/>
    <w:rsid w:val="00B745CB"/>
    <w:rsid w:val="00B75B1E"/>
    <w:rsid w:val="00B75F61"/>
    <w:rsid w:val="00B76AE0"/>
    <w:rsid w:val="00B76BA1"/>
    <w:rsid w:val="00B77337"/>
    <w:rsid w:val="00B810AE"/>
    <w:rsid w:val="00B851E0"/>
    <w:rsid w:val="00B85935"/>
    <w:rsid w:val="00B861F0"/>
    <w:rsid w:val="00B86E74"/>
    <w:rsid w:val="00B86FE5"/>
    <w:rsid w:val="00B90AE3"/>
    <w:rsid w:val="00B91B8F"/>
    <w:rsid w:val="00B91E28"/>
    <w:rsid w:val="00B9229B"/>
    <w:rsid w:val="00B92421"/>
    <w:rsid w:val="00B926C4"/>
    <w:rsid w:val="00B92A8E"/>
    <w:rsid w:val="00B93EF4"/>
    <w:rsid w:val="00B93FE3"/>
    <w:rsid w:val="00B945FC"/>
    <w:rsid w:val="00B94EE0"/>
    <w:rsid w:val="00B9548C"/>
    <w:rsid w:val="00B955AB"/>
    <w:rsid w:val="00B96FB9"/>
    <w:rsid w:val="00B97A8E"/>
    <w:rsid w:val="00BA144A"/>
    <w:rsid w:val="00BA1C99"/>
    <w:rsid w:val="00BA1E78"/>
    <w:rsid w:val="00BA3F26"/>
    <w:rsid w:val="00BA40D4"/>
    <w:rsid w:val="00BA4744"/>
    <w:rsid w:val="00BA51EC"/>
    <w:rsid w:val="00BA568E"/>
    <w:rsid w:val="00BA5CE1"/>
    <w:rsid w:val="00BA6EB3"/>
    <w:rsid w:val="00BA72F0"/>
    <w:rsid w:val="00BA7472"/>
    <w:rsid w:val="00BA7F55"/>
    <w:rsid w:val="00BB01F1"/>
    <w:rsid w:val="00BB1679"/>
    <w:rsid w:val="00BB2840"/>
    <w:rsid w:val="00BB2B12"/>
    <w:rsid w:val="00BB3205"/>
    <w:rsid w:val="00BB57A9"/>
    <w:rsid w:val="00BB5ED0"/>
    <w:rsid w:val="00BB6921"/>
    <w:rsid w:val="00BC08C2"/>
    <w:rsid w:val="00BC13EE"/>
    <w:rsid w:val="00BC22E6"/>
    <w:rsid w:val="00BC750F"/>
    <w:rsid w:val="00BC7A4C"/>
    <w:rsid w:val="00BD1051"/>
    <w:rsid w:val="00BD1AB1"/>
    <w:rsid w:val="00BD1D97"/>
    <w:rsid w:val="00BD1EFB"/>
    <w:rsid w:val="00BD3D69"/>
    <w:rsid w:val="00BD4149"/>
    <w:rsid w:val="00BD59F7"/>
    <w:rsid w:val="00BD5E10"/>
    <w:rsid w:val="00BD6230"/>
    <w:rsid w:val="00BD6F89"/>
    <w:rsid w:val="00BD7C7B"/>
    <w:rsid w:val="00BD7E1F"/>
    <w:rsid w:val="00BE0E77"/>
    <w:rsid w:val="00BE41EB"/>
    <w:rsid w:val="00BE5FE0"/>
    <w:rsid w:val="00BE6CED"/>
    <w:rsid w:val="00BE78B5"/>
    <w:rsid w:val="00BE7984"/>
    <w:rsid w:val="00BF0608"/>
    <w:rsid w:val="00BF1B70"/>
    <w:rsid w:val="00BF2489"/>
    <w:rsid w:val="00BF2E46"/>
    <w:rsid w:val="00BF330A"/>
    <w:rsid w:val="00C01066"/>
    <w:rsid w:val="00C01070"/>
    <w:rsid w:val="00C021E5"/>
    <w:rsid w:val="00C02C09"/>
    <w:rsid w:val="00C03633"/>
    <w:rsid w:val="00C03C50"/>
    <w:rsid w:val="00C0410D"/>
    <w:rsid w:val="00C0454E"/>
    <w:rsid w:val="00C04AF5"/>
    <w:rsid w:val="00C05549"/>
    <w:rsid w:val="00C0556F"/>
    <w:rsid w:val="00C05DD5"/>
    <w:rsid w:val="00C060AB"/>
    <w:rsid w:val="00C069E6"/>
    <w:rsid w:val="00C06C95"/>
    <w:rsid w:val="00C075E0"/>
    <w:rsid w:val="00C103C5"/>
    <w:rsid w:val="00C10C86"/>
    <w:rsid w:val="00C10E79"/>
    <w:rsid w:val="00C11AF1"/>
    <w:rsid w:val="00C11B6D"/>
    <w:rsid w:val="00C12139"/>
    <w:rsid w:val="00C12159"/>
    <w:rsid w:val="00C12783"/>
    <w:rsid w:val="00C132E3"/>
    <w:rsid w:val="00C133C3"/>
    <w:rsid w:val="00C14665"/>
    <w:rsid w:val="00C152D9"/>
    <w:rsid w:val="00C162A7"/>
    <w:rsid w:val="00C166DD"/>
    <w:rsid w:val="00C20173"/>
    <w:rsid w:val="00C2150C"/>
    <w:rsid w:val="00C2340A"/>
    <w:rsid w:val="00C23A93"/>
    <w:rsid w:val="00C25B41"/>
    <w:rsid w:val="00C26A2B"/>
    <w:rsid w:val="00C27815"/>
    <w:rsid w:val="00C31716"/>
    <w:rsid w:val="00C31765"/>
    <w:rsid w:val="00C320EC"/>
    <w:rsid w:val="00C32BAF"/>
    <w:rsid w:val="00C32CF4"/>
    <w:rsid w:val="00C333E9"/>
    <w:rsid w:val="00C33B13"/>
    <w:rsid w:val="00C33FBF"/>
    <w:rsid w:val="00C34506"/>
    <w:rsid w:val="00C34A9B"/>
    <w:rsid w:val="00C34F43"/>
    <w:rsid w:val="00C36E29"/>
    <w:rsid w:val="00C3704F"/>
    <w:rsid w:val="00C3798D"/>
    <w:rsid w:val="00C40FD1"/>
    <w:rsid w:val="00C413A7"/>
    <w:rsid w:val="00C425E8"/>
    <w:rsid w:val="00C42CCB"/>
    <w:rsid w:val="00C435F3"/>
    <w:rsid w:val="00C445A7"/>
    <w:rsid w:val="00C4473B"/>
    <w:rsid w:val="00C44769"/>
    <w:rsid w:val="00C44BE6"/>
    <w:rsid w:val="00C454E0"/>
    <w:rsid w:val="00C45DD2"/>
    <w:rsid w:val="00C47001"/>
    <w:rsid w:val="00C5068A"/>
    <w:rsid w:val="00C51628"/>
    <w:rsid w:val="00C52609"/>
    <w:rsid w:val="00C53966"/>
    <w:rsid w:val="00C53E11"/>
    <w:rsid w:val="00C540C8"/>
    <w:rsid w:val="00C545E4"/>
    <w:rsid w:val="00C55062"/>
    <w:rsid w:val="00C56D70"/>
    <w:rsid w:val="00C57AF0"/>
    <w:rsid w:val="00C6089B"/>
    <w:rsid w:val="00C60A98"/>
    <w:rsid w:val="00C618A1"/>
    <w:rsid w:val="00C61B84"/>
    <w:rsid w:val="00C61E4D"/>
    <w:rsid w:val="00C61E98"/>
    <w:rsid w:val="00C62119"/>
    <w:rsid w:val="00C62621"/>
    <w:rsid w:val="00C6417C"/>
    <w:rsid w:val="00C64388"/>
    <w:rsid w:val="00C64998"/>
    <w:rsid w:val="00C64AAE"/>
    <w:rsid w:val="00C65E6F"/>
    <w:rsid w:val="00C66250"/>
    <w:rsid w:val="00C665CC"/>
    <w:rsid w:val="00C66FD3"/>
    <w:rsid w:val="00C67887"/>
    <w:rsid w:val="00C702D8"/>
    <w:rsid w:val="00C715B7"/>
    <w:rsid w:val="00C71B17"/>
    <w:rsid w:val="00C73B16"/>
    <w:rsid w:val="00C75950"/>
    <w:rsid w:val="00C768EE"/>
    <w:rsid w:val="00C76B9E"/>
    <w:rsid w:val="00C77AD1"/>
    <w:rsid w:val="00C77C17"/>
    <w:rsid w:val="00C80319"/>
    <w:rsid w:val="00C8089A"/>
    <w:rsid w:val="00C80AC1"/>
    <w:rsid w:val="00C80B18"/>
    <w:rsid w:val="00C8230B"/>
    <w:rsid w:val="00C82726"/>
    <w:rsid w:val="00C83F37"/>
    <w:rsid w:val="00C856D4"/>
    <w:rsid w:val="00C8769D"/>
    <w:rsid w:val="00C87A25"/>
    <w:rsid w:val="00C9360E"/>
    <w:rsid w:val="00C95407"/>
    <w:rsid w:val="00C9591E"/>
    <w:rsid w:val="00C95F9B"/>
    <w:rsid w:val="00C972E0"/>
    <w:rsid w:val="00C97496"/>
    <w:rsid w:val="00CA0ADC"/>
    <w:rsid w:val="00CA0BCB"/>
    <w:rsid w:val="00CA1F1D"/>
    <w:rsid w:val="00CA230C"/>
    <w:rsid w:val="00CA373F"/>
    <w:rsid w:val="00CA50DE"/>
    <w:rsid w:val="00CA526A"/>
    <w:rsid w:val="00CA5758"/>
    <w:rsid w:val="00CA5F9B"/>
    <w:rsid w:val="00CA6491"/>
    <w:rsid w:val="00CA6777"/>
    <w:rsid w:val="00CA7007"/>
    <w:rsid w:val="00CA7BF1"/>
    <w:rsid w:val="00CB0C43"/>
    <w:rsid w:val="00CB0F35"/>
    <w:rsid w:val="00CB144B"/>
    <w:rsid w:val="00CB150C"/>
    <w:rsid w:val="00CB2F6A"/>
    <w:rsid w:val="00CB3571"/>
    <w:rsid w:val="00CB49AA"/>
    <w:rsid w:val="00CB67FA"/>
    <w:rsid w:val="00CC06D2"/>
    <w:rsid w:val="00CC1C18"/>
    <w:rsid w:val="00CC2B1F"/>
    <w:rsid w:val="00CC4F08"/>
    <w:rsid w:val="00CC5D5B"/>
    <w:rsid w:val="00CC681E"/>
    <w:rsid w:val="00CD04F5"/>
    <w:rsid w:val="00CD0C6B"/>
    <w:rsid w:val="00CD12D3"/>
    <w:rsid w:val="00CD1A91"/>
    <w:rsid w:val="00CD2628"/>
    <w:rsid w:val="00CD374B"/>
    <w:rsid w:val="00CD3B4D"/>
    <w:rsid w:val="00CD47B6"/>
    <w:rsid w:val="00CD6159"/>
    <w:rsid w:val="00CD75D2"/>
    <w:rsid w:val="00CE01E0"/>
    <w:rsid w:val="00CE0D71"/>
    <w:rsid w:val="00CE19D0"/>
    <w:rsid w:val="00CE2160"/>
    <w:rsid w:val="00CE2347"/>
    <w:rsid w:val="00CE2770"/>
    <w:rsid w:val="00CE2958"/>
    <w:rsid w:val="00CE2D84"/>
    <w:rsid w:val="00CE3F0B"/>
    <w:rsid w:val="00CE4350"/>
    <w:rsid w:val="00CE56DC"/>
    <w:rsid w:val="00CE5760"/>
    <w:rsid w:val="00CE64FC"/>
    <w:rsid w:val="00CE66D4"/>
    <w:rsid w:val="00CE6AC4"/>
    <w:rsid w:val="00CF146E"/>
    <w:rsid w:val="00CF17E4"/>
    <w:rsid w:val="00CF181F"/>
    <w:rsid w:val="00CF1A18"/>
    <w:rsid w:val="00CF208A"/>
    <w:rsid w:val="00CF34BC"/>
    <w:rsid w:val="00CF365B"/>
    <w:rsid w:val="00CF3D68"/>
    <w:rsid w:val="00CF40BB"/>
    <w:rsid w:val="00CF49E7"/>
    <w:rsid w:val="00CF4E80"/>
    <w:rsid w:val="00CF5F6D"/>
    <w:rsid w:val="00CF6F0E"/>
    <w:rsid w:val="00D00946"/>
    <w:rsid w:val="00D00BE7"/>
    <w:rsid w:val="00D00F51"/>
    <w:rsid w:val="00D016CE"/>
    <w:rsid w:val="00D01D36"/>
    <w:rsid w:val="00D01DAE"/>
    <w:rsid w:val="00D01E4E"/>
    <w:rsid w:val="00D0226F"/>
    <w:rsid w:val="00D03587"/>
    <w:rsid w:val="00D03EAD"/>
    <w:rsid w:val="00D0698A"/>
    <w:rsid w:val="00D06A76"/>
    <w:rsid w:val="00D07028"/>
    <w:rsid w:val="00D07E8F"/>
    <w:rsid w:val="00D10AE4"/>
    <w:rsid w:val="00D11889"/>
    <w:rsid w:val="00D1204F"/>
    <w:rsid w:val="00D12B14"/>
    <w:rsid w:val="00D12FB9"/>
    <w:rsid w:val="00D17A4A"/>
    <w:rsid w:val="00D2120D"/>
    <w:rsid w:val="00D21503"/>
    <w:rsid w:val="00D21A80"/>
    <w:rsid w:val="00D22041"/>
    <w:rsid w:val="00D2249C"/>
    <w:rsid w:val="00D22CA1"/>
    <w:rsid w:val="00D23A01"/>
    <w:rsid w:val="00D23A7D"/>
    <w:rsid w:val="00D309F5"/>
    <w:rsid w:val="00D31799"/>
    <w:rsid w:val="00D31A7D"/>
    <w:rsid w:val="00D3245A"/>
    <w:rsid w:val="00D32E34"/>
    <w:rsid w:val="00D33B14"/>
    <w:rsid w:val="00D3471A"/>
    <w:rsid w:val="00D36E8A"/>
    <w:rsid w:val="00D3760E"/>
    <w:rsid w:val="00D3793D"/>
    <w:rsid w:val="00D37AE4"/>
    <w:rsid w:val="00D40398"/>
    <w:rsid w:val="00D41B7B"/>
    <w:rsid w:val="00D41D3E"/>
    <w:rsid w:val="00D41D86"/>
    <w:rsid w:val="00D4294C"/>
    <w:rsid w:val="00D43456"/>
    <w:rsid w:val="00D44522"/>
    <w:rsid w:val="00D44DFE"/>
    <w:rsid w:val="00D456BC"/>
    <w:rsid w:val="00D45F37"/>
    <w:rsid w:val="00D46464"/>
    <w:rsid w:val="00D50725"/>
    <w:rsid w:val="00D5073F"/>
    <w:rsid w:val="00D51611"/>
    <w:rsid w:val="00D51B3E"/>
    <w:rsid w:val="00D5306F"/>
    <w:rsid w:val="00D54013"/>
    <w:rsid w:val="00D54684"/>
    <w:rsid w:val="00D54830"/>
    <w:rsid w:val="00D55252"/>
    <w:rsid w:val="00D55296"/>
    <w:rsid w:val="00D5560D"/>
    <w:rsid w:val="00D55B8F"/>
    <w:rsid w:val="00D55C13"/>
    <w:rsid w:val="00D5646C"/>
    <w:rsid w:val="00D568B6"/>
    <w:rsid w:val="00D57F21"/>
    <w:rsid w:val="00D60244"/>
    <w:rsid w:val="00D607CE"/>
    <w:rsid w:val="00D62281"/>
    <w:rsid w:val="00D643C6"/>
    <w:rsid w:val="00D6502B"/>
    <w:rsid w:val="00D655A9"/>
    <w:rsid w:val="00D658B1"/>
    <w:rsid w:val="00D65E56"/>
    <w:rsid w:val="00D6648B"/>
    <w:rsid w:val="00D70952"/>
    <w:rsid w:val="00D70B6E"/>
    <w:rsid w:val="00D7201B"/>
    <w:rsid w:val="00D720AE"/>
    <w:rsid w:val="00D7212E"/>
    <w:rsid w:val="00D734B4"/>
    <w:rsid w:val="00D7361B"/>
    <w:rsid w:val="00D739C6"/>
    <w:rsid w:val="00D74032"/>
    <w:rsid w:val="00D74915"/>
    <w:rsid w:val="00D74DAB"/>
    <w:rsid w:val="00D74FFA"/>
    <w:rsid w:val="00D764EF"/>
    <w:rsid w:val="00D765CF"/>
    <w:rsid w:val="00D80882"/>
    <w:rsid w:val="00D81B81"/>
    <w:rsid w:val="00D83811"/>
    <w:rsid w:val="00D845A7"/>
    <w:rsid w:val="00D84DA2"/>
    <w:rsid w:val="00D84EB4"/>
    <w:rsid w:val="00D85D59"/>
    <w:rsid w:val="00D861F8"/>
    <w:rsid w:val="00D872C4"/>
    <w:rsid w:val="00D879F6"/>
    <w:rsid w:val="00D90012"/>
    <w:rsid w:val="00D90CD3"/>
    <w:rsid w:val="00D90F65"/>
    <w:rsid w:val="00D9102E"/>
    <w:rsid w:val="00D92A76"/>
    <w:rsid w:val="00D9328F"/>
    <w:rsid w:val="00D93725"/>
    <w:rsid w:val="00D937A2"/>
    <w:rsid w:val="00D93FD6"/>
    <w:rsid w:val="00D94649"/>
    <w:rsid w:val="00D94872"/>
    <w:rsid w:val="00D964B0"/>
    <w:rsid w:val="00D96838"/>
    <w:rsid w:val="00D9690B"/>
    <w:rsid w:val="00D96EDF"/>
    <w:rsid w:val="00D96F82"/>
    <w:rsid w:val="00D97D30"/>
    <w:rsid w:val="00D97F53"/>
    <w:rsid w:val="00DA0446"/>
    <w:rsid w:val="00DA0907"/>
    <w:rsid w:val="00DA1782"/>
    <w:rsid w:val="00DA4451"/>
    <w:rsid w:val="00DA5570"/>
    <w:rsid w:val="00DA5A39"/>
    <w:rsid w:val="00DA5A72"/>
    <w:rsid w:val="00DA6930"/>
    <w:rsid w:val="00DA7A74"/>
    <w:rsid w:val="00DB001F"/>
    <w:rsid w:val="00DB0074"/>
    <w:rsid w:val="00DB008E"/>
    <w:rsid w:val="00DB034A"/>
    <w:rsid w:val="00DB0AEC"/>
    <w:rsid w:val="00DB168F"/>
    <w:rsid w:val="00DB181D"/>
    <w:rsid w:val="00DB2B14"/>
    <w:rsid w:val="00DB36ED"/>
    <w:rsid w:val="00DB3F45"/>
    <w:rsid w:val="00DB44D9"/>
    <w:rsid w:val="00DB4A65"/>
    <w:rsid w:val="00DB6168"/>
    <w:rsid w:val="00DB61CC"/>
    <w:rsid w:val="00DC04A7"/>
    <w:rsid w:val="00DC133C"/>
    <w:rsid w:val="00DC2308"/>
    <w:rsid w:val="00DC25E5"/>
    <w:rsid w:val="00DC27F3"/>
    <w:rsid w:val="00DC33E9"/>
    <w:rsid w:val="00DC52A5"/>
    <w:rsid w:val="00DC554B"/>
    <w:rsid w:val="00DC5F41"/>
    <w:rsid w:val="00DC62D3"/>
    <w:rsid w:val="00DC6A74"/>
    <w:rsid w:val="00DC7641"/>
    <w:rsid w:val="00DC7758"/>
    <w:rsid w:val="00DC7C7F"/>
    <w:rsid w:val="00DD013F"/>
    <w:rsid w:val="00DD01FA"/>
    <w:rsid w:val="00DD05E8"/>
    <w:rsid w:val="00DD1FE7"/>
    <w:rsid w:val="00DD2002"/>
    <w:rsid w:val="00DD241F"/>
    <w:rsid w:val="00DD598C"/>
    <w:rsid w:val="00DD5CD7"/>
    <w:rsid w:val="00DD61C1"/>
    <w:rsid w:val="00DD7A46"/>
    <w:rsid w:val="00DD7C57"/>
    <w:rsid w:val="00DD7EE3"/>
    <w:rsid w:val="00DE0726"/>
    <w:rsid w:val="00DE233D"/>
    <w:rsid w:val="00DE2C3F"/>
    <w:rsid w:val="00DE2C6D"/>
    <w:rsid w:val="00DE2F0B"/>
    <w:rsid w:val="00DE2F9D"/>
    <w:rsid w:val="00DE3734"/>
    <w:rsid w:val="00DE4A82"/>
    <w:rsid w:val="00DE62B5"/>
    <w:rsid w:val="00DE7C29"/>
    <w:rsid w:val="00DF0403"/>
    <w:rsid w:val="00DF074B"/>
    <w:rsid w:val="00DF0A4A"/>
    <w:rsid w:val="00DF175A"/>
    <w:rsid w:val="00DF1BB3"/>
    <w:rsid w:val="00DF20F9"/>
    <w:rsid w:val="00DF21F3"/>
    <w:rsid w:val="00DF3ACF"/>
    <w:rsid w:val="00DF3D65"/>
    <w:rsid w:val="00DF4C28"/>
    <w:rsid w:val="00DF529F"/>
    <w:rsid w:val="00DF7716"/>
    <w:rsid w:val="00DF7A94"/>
    <w:rsid w:val="00DF7C59"/>
    <w:rsid w:val="00E000B3"/>
    <w:rsid w:val="00E00875"/>
    <w:rsid w:val="00E0091F"/>
    <w:rsid w:val="00E024F3"/>
    <w:rsid w:val="00E037EE"/>
    <w:rsid w:val="00E03D3A"/>
    <w:rsid w:val="00E04446"/>
    <w:rsid w:val="00E0484F"/>
    <w:rsid w:val="00E052BF"/>
    <w:rsid w:val="00E06FF0"/>
    <w:rsid w:val="00E101C0"/>
    <w:rsid w:val="00E10656"/>
    <w:rsid w:val="00E1094A"/>
    <w:rsid w:val="00E11B85"/>
    <w:rsid w:val="00E11E46"/>
    <w:rsid w:val="00E11F48"/>
    <w:rsid w:val="00E12043"/>
    <w:rsid w:val="00E124E2"/>
    <w:rsid w:val="00E12B13"/>
    <w:rsid w:val="00E13474"/>
    <w:rsid w:val="00E140A9"/>
    <w:rsid w:val="00E15333"/>
    <w:rsid w:val="00E16A3B"/>
    <w:rsid w:val="00E16B93"/>
    <w:rsid w:val="00E16EF0"/>
    <w:rsid w:val="00E173ED"/>
    <w:rsid w:val="00E17BBE"/>
    <w:rsid w:val="00E2076D"/>
    <w:rsid w:val="00E2092D"/>
    <w:rsid w:val="00E21282"/>
    <w:rsid w:val="00E2177F"/>
    <w:rsid w:val="00E21A2D"/>
    <w:rsid w:val="00E222C0"/>
    <w:rsid w:val="00E22C2A"/>
    <w:rsid w:val="00E22CCF"/>
    <w:rsid w:val="00E22FD7"/>
    <w:rsid w:val="00E251E3"/>
    <w:rsid w:val="00E2559B"/>
    <w:rsid w:val="00E301B3"/>
    <w:rsid w:val="00E30A7B"/>
    <w:rsid w:val="00E30F5D"/>
    <w:rsid w:val="00E3143F"/>
    <w:rsid w:val="00E31DA2"/>
    <w:rsid w:val="00E31E80"/>
    <w:rsid w:val="00E32735"/>
    <w:rsid w:val="00E33FD0"/>
    <w:rsid w:val="00E34925"/>
    <w:rsid w:val="00E353E0"/>
    <w:rsid w:val="00E35571"/>
    <w:rsid w:val="00E35AF5"/>
    <w:rsid w:val="00E36D61"/>
    <w:rsid w:val="00E37422"/>
    <w:rsid w:val="00E402E4"/>
    <w:rsid w:val="00E41285"/>
    <w:rsid w:val="00E42CD8"/>
    <w:rsid w:val="00E42F43"/>
    <w:rsid w:val="00E43C29"/>
    <w:rsid w:val="00E44182"/>
    <w:rsid w:val="00E44851"/>
    <w:rsid w:val="00E44E55"/>
    <w:rsid w:val="00E456E1"/>
    <w:rsid w:val="00E45EEC"/>
    <w:rsid w:val="00E4611C"/>
    <w:rsid w:val="00E46206"/>
    <w:rsid w:val="00E46729"/>
    <w:rsid w:val="00E46CB5"/>
    <w:rsid w:val="00E5044A"/>
    <w:rsid w:val="00E50D54"/>
    <w:rsid w:val="00E511B3"/>
    <w:rsid w:val="00E5157D"/>
    <w:rsid w:val="00E51E4F"/>
    <w:rsid w:val="00E54F51"/>
    <w:rsid w:val="00E56096"/>
    <w:rsid w:val="00E5725A"/>
    <w:rsid w:val="00E605C5"/>
    <w:rsid w:val="00E60B10"/>
    <w:rsid w:val="00E61D03"/>
    <w:rsid w:val="00E6308E"/>
    <w:rsid w:val="00E63281"/>
    <w:rsid w:val="00E63A84"/>
    <w:rsid w:val="00E663B0"/>
    <w:rsid w:val="00E67341"/>
    <w:rsid w:val="00E674A0"/>
    <w:rsid w:val="00E67CD2"/>
    <w:rsid w:val="00E7088A"/>
    <w:rsid w:val="00E73DD1"/>
    <w:rsid w:val="00E73F35"/>
    <w:rsid w:val="00E73F71"/>
    <w:rsid w:val="00E74905"/>
    <w:rsid w:val="00E74AEE"/>
    <w:rsid w:val="00E75448"/>
    <w:rsid w:val="00E76221"/>
    <w:rsid w:val="00E767FD"/>
    <w:rsid w:val="00E8296F"/>
    <w:rsid w:val="00E8314C"/>
    <w:rsid w:val="00E83197"/>
    <w:rsid w:val="00E83509"/>
    <w:rsid w:val="00E84141"/>
    <w:rsid w:val="00E849D0"/>
    <w:rsid w:val="00E853C9"/>
    <w:rsid w:val="00E859E9"/>
    <w:rsid w:val="00E87B9A"/>
    <w:rsid w:val="00E905E0"/>
    <w:rsid w:val="00E91BB9"/>
    <w:rsid w:val="00E920DB"/>
    <w:rsid w:val="00E926AD"/>
    <w:rsid w:val="00E92ED4"/>
    <w:rsid w:val="00E93C9C"/>
    <w:rsid w:val="00E956E1"/>
    <w:rsid w:val="00E9617E"/>
    <w:rsid w:val="00E972ED"/>
    <w:rsid w:val="00E97732"/>
    <w:rsid w:val="00EA0C49"/>
    <w:rsid w:val="00EA382E"/>
    <w:rsid w:val="00EA3EC1"/>
    <w:rsid w:val="00EA59F0"/>
    <w:rsid w:val="00EA611C"/>
    <w:rsid w:val="00EA6D95"/>
    <w:rsid w:val="00EA7028"/>
    <w:rsid w:val="00EA7A0B"/>
    <w:rsid w:val="00EA7A14"/>
    <w:rsid w:val="00EA7E86"/>
    <w:rsid w:val="00EA7FAA"/>
    <w:rsid w:val="00EB1350"/>
    <w:rsid w:val="00EB18AC"/>
    <w:rsid w:val="00EB1CF9"/>
    <w:rsid w:val="00EB3299"/>
    <w:rsid w:val="00EB34D1"/>
    <w:rsid w:val="00EB380E"/>
    <w:rsid w:val="00EB4907"/>
    <w:rsid w:val="00EB50E3"/>
    <w:rsid w:val="00EB538B"/>
    <w:rsid w:val="00EB65B2"/>
    <w:rsid w:val="00EB7060"/>
    <w:rsid w:val="00EB7D29"/>
    <w:rsid w:val="00EC0441"/>
    <w:rsid w:val="00EC0A0B"/>
    <w:rsid w:val="00EC1FE2"/>
    <w:rsid w:val="00EC36CE"/>
    <w:rsid w:val="00EC3876"/>
    <w:rsid w:val="00EC460B"/>
    <w:rsid w:val="00EC5B6E"/>
    <w:rsid w:val="00ED01E5"/>
    <w:rsid w:val="00ED1690"/>
    <w:rsid w:val="00ED1B1A"/>
    <w:rsid w:val="00ED2017"/>
    <w:rsid w:val="00ED20F5"/>
    <w:rsid w:val="00ED29B1"/>
    <w:rsid w:val="00ED2BBE"/>
    <w:rsid w:val="00ED3129"/>
    <w:rsid w:val="00ED338C"/>
    <w:rsid w:val="00ED43FA"/>
    <w:rsid w:val="00ED4610"/>
    <w:rsid w:val="00ED461D"/>
    <w:rsid w:val="00ED5392"/>
    <w:rsid w:val="00ED5DAA"/>
    <w:rsid w:val="00ED5E09"/>
    <w:rsid w:val="00ED605B"/>
    <w:rsid w:val="00ED69E8"/>
    <w:rsid w:val="00ED6B7A"/>
    <w:rsid w:val="00ED7538"/>
    <w:rsid w:val="00ED7916"/>
    <w:rsid w:val="00EE2B76"/>
    <w:rsid w:val="00EE39EA"/>
    <w:rsid w:val="00EE4AC6"/>
    <w:rsid w:val="00EE62F1"/>
    <w:rsid w:val="00EE655B"/>
    <w:rsid w:val="00EE6C0B"/>
    <w:rsid w:val="00EE74E1"/>
    <w:rsid w:val="00EE78BE"/>
    <w:rsid w:val="00EF1C18"/>
    <w:rsid w:val="00EF1C68"/>
    <w:rsid w:val="00EF26A4"/>
    <w:rsid w:val="00EF26EB"/>
    <w:rsid w:val="00EF3035"/>
    <w:rsid w:val="00EF339D"/>
    <w:rsid w:val="00EF3DCC"/>
    <w:rsid w:val="00EF458C"/>
    <w:rsid w:val="00EF574D"/>
    <w:rsid w:val="00EF5CF5"/>
    <w:rsid w:val="00EF774D"/>
    <w:rsid w:val="00F0095F"/>
    <w:rsid w:val="00F00A82"/>
    <w:rsid w:val="00F01D6A"/>
    <w:rsid w:val="00F0215B"/>
    <w:rsid w:val="00F03792"/>
    <w:rsid w:val="00F050C0"/>
    <w:rsid w:val="00F05748"/>
    <w:rsid w:val="00F05EA5"/>
    <w:rsid w:val="00F06A1A"/>
    <w:rsid w:val="00F06FAB"/>
    <w:rsid w:val="00F07667"/>
    <w:rsid w:val="00F07BD6"/>
    <w:rsid w:val="00F07DC0"/>
    <w:rsid w:val="00F101E4"/>
    <w:rsid w:val="00F10340"/>
    <w:rsid w:val="00F10B1E"/>
    <w:rsid w:val="00F11B56"/>
    <w:rsid w:val="00F12451"/>
    <w:rsid w:val="00F1501D"/>
    <w:rsid w:val="00F15436"/>
    <w:rsid w:val="00F15B2D"/>
    <w:rsid w:val="00F16588"/>
    <w:rsid w:val="00F16C7C"/>
    <w:rsid w:val="00F21590"/>
    <w:rsid w:val="00F219EC"/>
    <w:rsid w:val="00F223DE"/>
    <w:rsid w:val="00F224FF"/>
    <w:rsid w:val="00F240F4"/>
    <w:rsid w:val="00F24812"/>
    <w:rsid w:val="00F2488C"/>
    <w:rsid w:val="00F24A84"/>
    <w:rsid w:val="00F26733"/>
    <w:rsid w:val="00F26775"/>
    <w:rsid w:val="00F26931"/>
    <w:rsid w:val="00F272CA"/>
    <w:rsid w:val="00F278D8"/>
    <w:rsid w:val="00F27AA9"/>
    <w:rsid w:val="00F30F2C"/>
    <w:rsid w:val="00F31AD0"/>
    <w:rsid w:val="00F32051"/>
    <w:rsid w:val="00F3240F"/>
    <w:rsid w:val="00F33816"/>
    <w:rsid w:val="00F33B79"/>
    <w:rsid w:val="00F34D39"/>
    <w:rsid w:val="00F34DCE"/>
    <w:rsid w:val="00F35270"/>
    <w:rsid w:val="00F356F6"/>
    <w:rsid w:val="00F36085"/>
    <w:rsid w:val="00F362F5"/>
    <w:rsid w:val="00F367C1"/>
    <w:rsid w:val="00F37EC6"/>
    <w:rsid w:val="00F40763"/>
    <w:rsid w:val="00F407A6"/>
    <w:rsid w:val="00F40DEF"/>
    <w:rsid w:val="00F41571"/>
    <w:rsid w:val="00F41C93"/>
    <w:rsid w:val="00F41F00"/>
    <w:rsid w:val="00F4231F"/>
    <w:rsid w:val="00F437DF"/>
    <w:rsid w:val="00F4612B"/>
    <w:rsid w:val="00F467D5"/>
    <w:rsid w:val="00F47A92"/>
    <w:rsid w:val="00F47DE5"/>
    <w:rsid w:val="00F50AFB"/>
    <w:rsid w:val="00F51679"/>
    <w:rsid w:val="00F5299B"/>
    <w:rsid w:val="00F529E1"/>
    <w:rsid w:val="00F546DC"/>
    <w:rsid w:val="00F55FC7"/>
    <w:rsid w:val="00F56B9C"/>
    <w:rsid w:val="00F56CF4"/>
    <w:rsid w:val="00F60BDA"/>
    <w:rsid w:val="00F6104C"/>
    <w:rsid w:val="00F615CC"/>
    <w:rsid w:val="00F62E26"/>
    <w:rsid w:val="00F6311F"/>
    <w:rsid w:val="00F640D6"/>
    <w:rsid w:val="00F6586C"/>
    <w:rsid w:val="00F65AD1"/>
    <w:rsid w:val="00F705F2"/>
    <w:rsid w:val="00F71C9E"/>
    <w:rsid w:val="00F71D56"/>
    <w:rsid w:val="00F7260D"/>
    <w:rsid w:val="00F7273A"/>
    <w:rsid w:val="00F72D01"/>
    <w:rsid w:val="00F73614"/>
    <w:rsid w:val="00F736C6"/>
    <w:rsid w:val="00F745CB"/>
    <w:rsid w:val="00F75010"/>
    <w:rsid w:val="00F7709C"/>
    <w:rsid w:val="00F80252"/>
    <w:rsid w:val="00F80E1E"/>
    <w:rsid w:val="00F81891"/>
    <w:rsid w:val="00F819AE"/>
    <w:rsid w:val="00F81A5A"/>
    <w:rsid w:val="00F81D23"/>
    <w:rsid w:val="00F821B1"/>
    <w:rsid w:val="00F83BAC"/>
    <w:rsid w:val="00F8425F"/>
    <w:rsid w:val="00F85BB5"/>
    <w:rsid w:val="00F85E9C"/>
    <w:rsid w:val="00F866FC"/>
    <w:rsid w:val="00F86906"/>
    <w:rsid w:val="00F86FF8"/>
    <w:rsid w:val="00F908EE"/>
    <w:rsid w:val="00F92025"/>
    <w:rsid w:val="00F92064"/>
    <w:rsid w:val="00F926F1"/>
    <w:rsid w:val="00F92EDF"/>
    <w:rsid w:val="00F9339F"/>
    <w:rsid w:val="00F93AB5"/>
    <w:rsid w:val="00F93D62"/>
    <w:rsid w:val="00F93FD1"/>
    <w:rsid w:val="00F95007"/>
    <w:rsid w:val="00F95C97"/>
    <w:rsid w:val="00F95E3E"/>
    <w:rsid w:val="00F960A0"/>
    <w:rsid w:val="00F96E41"/>
    <w:rsid w:val="00F97F45"/>
    <w:rsid w:val="00FA14D9"/>
    <w:rsid w:val="00FA3044"/>
    <w:rsid w:val="00FA3237"/>
    <w:rsid w:val="00FA425A"/>
    <w:rsid w:val="00FA5D6F"/>
    <w:rsid w:val="00FA5EBC"/>
    <w:rsid w:val="00FA608A"/>
    <w:rsid w:val="00FA6CCB"/>
    <w:rsid w:val="00FA7136"/>
    <w:rsid w:val="00FA71DC"/>
    <w:rsid w:val="00FA7609"/>
    <w:rsid w:val="00FB02B1"/>
    <w:rsid w:val="00FB15B2"/>
    <w:rsid w:val="00FB2178"/>
    <w:rsid w:val="00FB2BA1"/>
    <w:rsid w:val="00FB4864"/>
    <w:rsid w:val="00FB4924"/>
    <w:rsid w:val="00FB4B01"/>
    <w:rsid w:val="00FB5CEC"/>
    <w:rsid w:val="00FB6E02"/>
    <w:rsid w:val="00FB7227"/>
    <w:rsid w:val="00FB73B9"/>
    <w:rsid w:val="00FB7944"/>
    <w:rsid w:val="00FB79F7"/>
    <w:rsid w:val="00FB7FD8"/>
    <w:rsid w:val="00FC0593"/>
    <w:rsid w:val="00FC0A66"/>
    <w:rsid w:val="00FC1D3D"/>
    <w:rsid w:val="00FC27D5"/>
    <w:rsid w:val="00FC4016"/>
    <w:rsid w:val="00FC4BD2"/>
    <w:rsid w:val="00FC4D1B"/>
    <w:rsid w:val="00FC5B91"/>
    <w:rsid w:val="00FC611F"/>
    <w:rsid w:val="00FC62CA"/>
    <w:rsid w:val="00FC67BB"/>
    <w:rsid w:val="00FC6DE5"/>
    <w:rsid w:val="00FC727F"/>
    <w:rsid w:val="00FC78F7"/>
    <w:rsid w:val="00FD0EDA"/>
    <w:rsid w:val="00FD32D5"/>
    <w:rsid w:val="00FD3AFE"/>
    <w:rsid w:val="00FD3C74"/>
    <w:rsid w:val="00FD5A11"/>
    <w:rsid w:val="00FD5AB3"/>
    <w:rsid w:val="00FD5FA4"/>
    <w:rsid w:val="00FD63F9"/>
    <w:rsid w:val="00FD6BA3"/>
    <w:rsid w:val="00FD6D1A"/>
    <w:rsid w:val="00FD7DC2"/>
    <w:rsid w:val="00FE1784"/>
    <w:rsid w:val="00FE1D18"/>
    <w:rsid w:val="00FE20C9"/>
    <w:rsid w:val="00FE2EF0"/>
    <w:rsid w:val="00FE37E7"/>
    <w:rsid w:val="00FE3B37"/>
    <w:rsid w:val="00FE45E2"/>
    <w:rsid w:val="00FE5784"/>
    <w:rsid w:val="00FE5BC8"/>
    <w:rsid w:val="00FE5E18"/>
    <w:rsid w:val="00FF03BF"/>
    <w:rsid w:val="00FF1E89"/>
    <w:rsid w:val="00FF202B"/>
    <w:rsid w:val="00FF3036"/>
    <w:rsid w:val="00FF39E3"/>
    <w:rsid w:val="00FF4875"/>
    <w:rsid w:val="00FF54DB"/>
    <w:rsid w:val="00FF581B"/>
    <w:rsid w:val="00FF5F92"/>
    <w:rsid w:val="00FF6060"/>
    <w:rsid w:val="00FF6959"/>
    <w:rsid w:val="00FF6E04"/>
    <w:rsid w:val="00FF7988"/>
    <w:rsid w:val="00FF7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39" w:qFormat="1"/>
  </w:latentStyles>
  <w:style w:type="paragraph" w:default="1" w:styleId="Normal">
    <w:name w:val="Normal"/>
    <w:qFormat/>
    <w:rsid w:val="006357C5"/>
    <w:rPr>
      <w:rFonts w:eastAsia="Calibri"/>
    </w:rPr>
  </w:style>
  <w:style w:type="paragraph" w:styleId="Heading1">
    <w:name w:val="heading 1"/>
    <w:basedOn w:val="Normal"/>
    <w:next w:val="Normal"/>
    <w:link w:val="Heading1Char"/>
    <w:uiPriority w:val="99"/>
    <w:qFormat/>
    <w:rsid w:val="006357C5"/>
    <w:pPr>
      <w:keepNext/>
      <w:keepLines/>
      <w:spacing w:before="480"/>
      <w:jc w:val="center"/>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9"/>
    <w:qFormat/>
    <w:rsid w:val="006357C5"/>
    <w:pPr>
      <w:keepNext/>
      <w:keepLines/>
      <w:spacing w:before="200"/>
      <w:outlineLvl w:val="1"/>
    </w:pPr>
    <w:rPr>
      <w:rFonts w:ascii="Cambria" w:eastAsia="Times New Roman" w:hAnsi="Cambria" w:cs="Times New Roman"/>
      <w:b/>
      <w:bCs/>
      <w:color w:val="4F81BD"/>
      <w:sz w:val="26"/>
      <w:szCs w:val="26"/>
    </w:rPr>
  </w:style>
  <w:style w:type="paragraph" w:styleId="Heading3">
    <w:name w:val="heading 3"/>
    <w:aliases w:val="Box header"/>
    <w:basedOn w:val="Normal"/>
    <w:next w:val="Normal"/>
    <w:link w:val="Heading3Char"/>
    <w:uiPriority w:val="99"/>
    <w:qFormat/>
    <w:rsid w:val="006357C5"/>
    <w:pPr>
      <w:keepNext/>
      <w:keepLines/>
      <w:spacing w:before="200"/>
      <w:outlineLvl w:val="2"/>
    </w:pPr>
    <w:rPr>
      <w:rFonts w:ascii="Cambria" w:eastAsia="Times New Roman" w:hAnsi="Cambria" w:cs="Times New Roman"/>
      <w:b/>
      <w:bCs/>
      <w:color w:val="4F81BD"/>
    </w:rPr>
  </w:style>
  <w:style w:type="paragraph" w:styleId="Heading4">
    <w:name w:val="heading 4"/>
    <w:basedOn w:val="Normal"/>
    <w:next w:val="Normal"/>
    <w:link w:val="Heading4Char"/>
    <w:uiPriority w:val="99"/>
    <w:qFormat/>
    <w:rsid w:val="006357C5"/>
    <w:pPr>
      <w:keepNext/>
      <w:keepLines/>
      <w:spacing w:before="20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6357C5"/>
    <w:pPr>
      <w:keepNext/>
      <w:keepLines/>
      <w:spacing w:before="200"/>
      <w:outlineLvl w:val="4"/>
    </w:pPr>
    <w:rPr>
      <w:rFonts w:ascii="Cambria" w:eastAsia="Times New Roman" w:hAnsi="Cambria" w:cs="Times New Roman"/>
      <w:color w:val="243F60"/>
    </w:rPr>
  </w:style>
  <w:style w:type="paragraph" w:styleId="Heading6">
    <w:name w:val="heading 6"/>
    <w:basedOn w:val="Normal"/>
    <w:next w:val="Normal"/>
    <w:link w:val="Heading6Char"/>
    <w:uiPriority w:val="99"/>
    <w:qFormat/>
    <w:rsid w:val="006357C5"/>
    <w:pPr>
      <w:keepNext/>
      <w:keepLines/>
      <w:spacing w:before="200"/>
      <w:outlineLvl w:val="5"/>
    </w:pPr>
    <w:rPr>
      <w:rFonts w:ascii="Cambria" w:eastAsia="Times New Roman" w:hAnsi="Cambria" w:cs="Times New Roman"/>
      <w:i/>
      <w:iCs/>
      <w:color w:val="243F60"/>
    </w:rPr>
  </w:style>
  <w:style w:type="paragraph" w:styleId="Heading9">
    <w:name w:val="heading 9"/>
    <w:aliases w:val="Source"/>
    <w:basedOn w:val="Normal"/>
    <w:next w:val="Normal"/>
    <w:link w:val="Heading9Char"/>
    <w:uiPriority w:val="99"/>
    <w:qFormat/>
    <w:rsid w:val="006357C5"/>
    <w:pPr>
      <w:spacing w:before="240" w:after="60" w:line="240" w:lineRule="auto"/>
      <w:outlineLvl w:val="8"/>
    </w:pPr>
    <w:rPr>
      <w:rFonts w:eastAsia="Times New Roman"/>
      <w:sz w:val="18"/>
      <w:szCs w:val="18"/>
      <w:u w:val="single"/>
      <w:lang w:val="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357C5"/>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9"/>
    <w:rsid w:val="006357C5"/>
    <w:rPr>
      <w:rFonts w:ascii="Cambria" w:eastAsia="Times New Roman" w:hAnsi="Cambria" w:cs="Times New Roman"/>
      <w:b/>
      <w:bCs/>
      <w:color w:val="4F81BD"/>
      <w:sz w:val="26"/>
      <w:szCs w:val="26"/>
    </w:rPr>
  </w:style>
  <w:style w:type="character" w:customStyle="1" w:styleId="Heading3Char">
    <w:name w:val="Heading 3 Char"/>
    <w:aliases w:val="Box header Char"/>
    <w:basedOn w:val="DefaultParagraphFont"/>
    <w:link w:val="Heading3"/>
    <w:uiPriority w:val="99"/>
    <w:rsid w:val="006357C5"/>
    <w:rPr>
      <w:rFonts w:ascii="Cambria" w:eastAsia="Times New Roman" w:hAnsi="Cambria" w:cs="Times New Roman"/>
      <w:b/>
      <w:bCs/>
      <w:color w:val="4F81BD"/>
    </w:rPr>
  </w:style>
  <w:style w:type="character" w:customStyle="1" w:styleId="Heading4Char">
    <w:name w:val="Heading 4 Char"/>
    <w:basedOn w:val="DefaultParagraphFont"/>
    <w:link w:val="Heading4"/>
    <w:uiPriority w:val="99"/>
    <w:rsid w:val="006357C5"/>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6357C5"/>
    <w:rPr>
      <w:rFonts w:ascii="Cambria" w:eastAsia="Times New Roman" w:hAnsi="Cambria" w:cs="Times New Roman"/>
      <w:color w:val="243F60"/>
    </w:rPr>
  </w:style>
  <w:style w:type="character" w:customStyle="1" w:styleId="Heading6Char">
    <w:name w:val="Heading 6 Char"/>
    <w:basedOn w:val="DefaultParagraphFont"/>
    <w:link w:val="Heading6"/>
    <w:uiPriority w:val="99"/>
    <w:rsid w:val="006357C5"/>
    <w:rPr>
      <w:rFonts w:ascii="Cambria" w:eastAsia="Times New Roman" w:hAnsi="Cambria" w:cs="Times New Roman"/>
      <w:i/>
      <w:iCs/>
      <w:color w:val="243F60"/>
    </w:rPr>
  </w:style>
  <w:style w:type="character" w:customStyle="1" w:styleId="Heading9Char">
    <w:name w:val="Heading 9 Char"/>
    <w:aliases w:val="Source Char"/>
    <w:basedOn w:val="DefaultParagraphFont"/>
    <w:link w:val="Heading9"/>
    <w:uiPriority w:val="99"/>
    <w:rsid w:val="006357C5"/>
    <w:rPr>
      <w:rFonts w:eastAsia="Times New Roman"/>
      <w:sz w:val="18"/>
      <w:szCs w:val="18"/>
      <w:u w:val="single"/>
      <w:lang w:val="es-CO"/>
    </w:rPr>
  </w:style>
  <w:style w:type="paragraph" w:styleId="BodyText">
    <w:name w:val="Body Text"/>
    <w:basedOn w:val="Normal"/>
    <w:link w:val="BodyTextChar"/>
    <w:uiPriority w:val="99"/>
    <w:rsid w:val="006357C5"/>
    <w:pPr>
      <w:tabs>
        <w:tab w:val="left" w:pos="1361"/>
        <w:tab w:val="left" w:pos="1701"/>
        <w:tab w:val="left" w:pos="2041"/>
      </w:tabs>
      <w:spacing w:after="120" w:line="240" w:lineRule="auto"/>
      <w:ind w:left="510" w:right="510" w:firstLine="340"/>
      <w:jc w:val="both"/>
    </w:pPr>
    <w:rPr>
      <w:rFonts w:ascii="Times New Roman" w:eastAsia="Times New Roman" w:hAnsi="Times New Roman" w:cs="Times New Roman"/>
      <w:sz w:val="21"/>
      <w:szCs w:val="21"/>
    </w:rPr>
  </w:style>
  <w:style w:type="character" w:customStyle="1" w:styleId="BodyTextChar">
    <w:name w:val="Body Text Char"/>
    <w:basedOn w:val="DefaultParagraphFont"/>
    <w:link w:val="BodyText"/>
    <w:uiPriority w:val="99"/>
    <w:rsid w:val="006357C5"/>
    <w:rPr>
      <w:rFonts w:ascii="Times New Roman" w:eastAsia="Times New Roman" w:hAnsi="Times New Roman" w:cs="Times New Roman"/>
      <w:sz w:val="21"/>
      <w:szCs w:val="21"/>
    </w:rPr>
  </w:style>
  <w:style w:type="paragraph" w:styleId="ListBullet">
    <w:name w:val="List Bullet"/>
    <w:basedOn w:val="Normal"/>
    <w:uiPriority w:val="99"/>
    <w:rsid w:val="006357C5"/>
    <w:pPr>
      <w:numPr>
        <w:numId w:val="1"/>
      </w:numPr>
      <w:tabs>
        <w:tab w:val="clear" w:pos="850"/>
        <w:tab w:val="left" w:pos="1191"/>
      </w:tabs>
      <w:spacing w:after="120" w:line="240" w:lineRule="auto"/>
      <w:ind w:left="1191" w:right="510" w:hanging="340"/>
      <w:jc w:val="both"/>
    </w:pPr>
    <w:rPr>
      <w:rFonts w:ascii="Times New Roman" w:eastAsia="Times New Roman" w:hAnsi="Times New Roman" w:cs="Times New Roman"/>
      <w:sz w:val="21"/>
      <w:szCs w:val="21"/>
      <w:lang w:val="en-GB"/>
    </w:rPr>
  </w:style>
  <w:style w:type="paragraph" w:styleId="BalloonText">
    <w:name w:val="Balloon Text"/>
    <w:basedOn w:val="Normal"/>
    <w:link w:val="BalloonTextChar"/>
    <w:uiPriority w:val="99"/>
    <w:rsid w:val="006357C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357C5"/>
    <w:rPr>
      <w:rFonts w:ascii="Tahoma" w:eastAsia="Calibri" w:hAnsi="Tahoma" w:cs="Tahoma"/>
      <w:sz w:val="16"/>
      <w:szCs w:val="16"/>
    </w:rPr>
  </w:style>
  <w:style w:type="paragraph" w:styleId="TOCHeading">
    <w:name w:val="TOC Heading"/>
    <w:basedOn w:val="Heading1"/>
    <w:next w:val="Normal"/>
    <w:uiPriority w:val="39"/>
    <w:qFormat/>
    <w:rsid w:val="006357C5"/>
    <w:pPr>
      <w:outlineLvl w:val="9"/>
    </w:pPr>
  </w:style>
  <w:style w:type="paragraph" w:styleId="TOC1">
    <w:name w:val="toc 1"/>
    <w:basedOn w:val="Normal"/>
    <w:next w:val="Normal"/>
    <w:autoRedefine/>
    <w:uiPriority w:val="39"/>
    <w:rsid w:val="006357C5"/>
    <w:pPr>
      <w:tabs>
        <w:tab w:val="right" w:pos="9350"/>
      </w:tabs>
      <w:spacing w:before="240"/>
    </w:pPr>
    <w:rPr>
      <w:rFonts w:ascii="Cambria" w:hAnsi="Cambria"/>
      <w:b/>
      <w:bCs/>
      <w:caps/>
      <w:sz w:val="24"/>
      <w:szCs w:val="24"/>
    </w:rPr>
  </w:style>
  <w:style w:type="paragraph" w:styleId="TOC3">
    <w:name w:val="toc 3"/>
    <w:basedOn w:val="Normal"/>
    <w:next w:val="Normal"/>
    <w:autoRedefine/>
    <w:uiPriority w:val="39"/>
    <w:rsid w:val="006357C5"/>
    <w:pPr>
      <w:spacing w:line="240" w:lineRule="auto"/>
      <w:ind w:left="567"/>
    </w:pPr>
    <w:rPr>
      <w:sz w:val="20"/>
      <w:szCs w:val="20"/>
      <w:lang w:val="es-CO"/>
    </w:rPr>
  </w:style>
  <w:style w:type="character" w:styleId="Hyperlink">
    <w:name w:val="Hyperlink"/>
    <w:basedOn w:val="DefaultParagraphFont"/>
    <w:uiPriority w:val="99"/>
    <w:rsid w:val="006357C5"/>
    <w:rPr>
      <w:rFonts w:cs="Times New Roman"/>
      <w:color w:val="0000FF"/>
      <w:u w:val="single"/>
    </w:rPr>
  </w:style>
  <w:style w:type="paragraph" w:styleId="TOC2">
    <w:name w:val="toc 2"/>
    <w:basedOn w:val="Normal"/>
    <w:next w:val="Normal"/>
    <w:autoRedefine/>
    <w:uiPriority w:val="39"/>
    <w:rsid w:val="006357C5"/>
    <w:pPr>
      <w:tabs>
        <w:tab w:val="left" w:pos="567"/>
        <w:tab w:val="right" w:pos="9350"/>
      </w:tabs>
      <w:spacing w:before="100" w:line="240" w:lineRule="auto"/>
    </w:pPr>
    <w:rPr>
      <w:rFonts w:ascii="Calibri" w:hAnsi="Calibri"/>
      <w:b/>
      <w:bCs/>
      <w:sz w:val="20"/>
      <w:szCs w:val="20"/>
    </w:rPr>
  </w:style>
  <w:style w:type="paragraph" w:styleId="FootnoteText">
    <w:name w:val="footnote text"/>
    <w:aliases w:val="ft,FA Fu,Geneva 9,Font: Geneva 9,Boston 10,f,FN,Footnote Text Char Char Char Char Char,Footnote Text Char Char Char Char Char Char,(NECG) Footnote Text Char Char Char,fn,Footnote Text Char Char,Footnote Text1 Char,Car"/>
    <w:basedOn w:val="Normal"/>
    <w:link w:val="FootnoteTextChar1"/>
    <w:uiPriority w:val="99"/>
    <w:rsid w:val="006357C5"/>
    <w:pPr>
      <w:spacing w:line="240" w:lineRule="auto"/>
    </w:pPr>
    <w:rPr>
      <w:rFonts w:ascii="Calibri" w:hAnsi="Calibri" w:cs="Times New Roman"/>
      <w:sz w:val="20"/>
      <w:szCs w:val="20"/>
    </w:rPr>
  </w:style>
  <w:style w:type="character" w:customStyle="1" w:styleId="FootnoteTextChar">
    <w:name w:val="Footnote Text Char"/>
    <w:aliases w:val="ft Char,FA Fu Char,Geneva 9 Char,Font: Geneva 9 Char,Boston 10 Char,f Char,FN Char,Footnote Text Char Char Char Char Char Char1,Footnote Text Char Char Char Char Char Char Char,(NECG) Footnote Text Char Char Char Char,fn Char,Car Char"/>
    <w:basedOn w:val="DefaultParagraphFont"/>
    <w:uiPriority w:val="99"/>
    <w:semiHidden/>
    <w:rsid w:val="006357C5"/>
    <w:rPr>
      <w:rFonts w:eastAsia="Calibri"/>
      <w:sz w:val="20"/>
      <w:szCs w:val="20"/>
    </w:rPr>
  </w:style>
  <w:style w:type="character" w:customStyle="1" w:styleId="FootnoteTextChar1">
    <w:name w:val="Footnote Text Char1"/>
    <w:aliases w:val="ft Char1,FA Fu Char1,Geneva 9 Char1,Font: Geneva 9 Char1,Boston 10 Char1,f Char1,FN Char1,Footnote Text Char Char Char Char Char Char2,Footnote Text Char Char Char Char Char Char Char1,(NECG) Footnote Text Char Char Char Char1"/>
    <w:basedOn w:val="DefaultParagraphFont"/>
    <w:link w:val="FootnoteText"/>
    <w:uiPriority w:val="99"/>
    <w:locked/>
    <w:rsid w:val="006357C5"/>
    <w:rPr>
      <w:rFonts w:ascii="Calibri" w:eastAsia="Calibri" w:hAnsi="Calibri" w:cs="Times New Roman"/>
      <w:sz w:val="20"/>
      <w:szCs w:val="20"/>
    </w:rPr>
  </w:style>
  <w:style w:type="character" w:styleId="FootnoteReference">
    <w:name w:val="footnote reference"/>
    <w:aliases w:val="Ref,de nota al pie,註腳內容"/>
    <w:basedOn w:val="DefaultParagraphFont"/>
    <w:uiPriority w:val="99"/>
    <w:rsid w:val="006357C5"/>
    <w:rPr>
      <w:rFonts w:cs="Times New Roman"/>
      <w:vertAlign w:val="superscript"/>
    </w:rPr>
  </w:style>
  <w:style w:type="paragraph" w:styleId="ListParagraph">
    <w:name w:val="List Paragraph"/>
    <w:basedOn w:val="Normal"/>
    <w:uiPriority w:val="99"/>
    <w:qFormat/>
    <w:rsid w:val="006357C5"/>
    <w:pPr>
      <w:ind w:left="720"/>
      <w:contextualSpacing/>
    </w:pPr>
  </w:style>
  <w:style w:type="character" w:styleId="CommentReference">
    <w:name w:val="annotation reference"/>
    <w:basedOn w:val="DefaultParagraphFont"/>
    <w:uiPriority w:val="99"/>
    <w:rsid w:val="006357C5"/>
    <w:rPr>
      <w:rFonts w:cs="Times New Roman"/>
      <w:sz w:val="16"/>
      <w:szCs w:val="16"/>
    </w:rPr>
  </w:style>
  <w:style w:type="paragraph" w:styleId="CommentText">
    <w:name w:val="annotation text"/>
    <w:basedOn w:val="Normal"/>
    <w:link w:val="CommentTextChar"/>
    <w:uiPriority w:val="99"/>
    <w:rsid w:val="006357C5"/>
    <w:pPr>
      <w:spacing w:line="240" w:lineRule="auto"/>
    </w:pPr>
    <w:rPr>
      <w:sz w:val="20"/>
      <w:szCs w:val="20"/>
    </w:rPr>
  </w:style>
  <w:style w:type="character" w:customStyle="1" w:styleId="CommentTextChar">
    <w:name w:val="Comment Text Char"/>
    <w:basedOn w:val="DefaultParagraphFont"/>
    <w:link w:val="CommentText"/>
    <w:uiPriority w:val="99"/>
    <w:rsid w:val="006357C5"/>
    <w:rPr>
      <w:rFonts w:eastAsia="Calibri"/>
      <w:sz w:val="20"/>
      <w:szCs w:val="20"/>
    </w:rPr>
  </w:style>
  <w:style w:type="paragraph" w:styleId="CommentSubject">
    <w:name w:val="annotation subject"/>
    <w:basedOn w:val="CommentText"/>
    <w:next w:val="CommentText"/>
    <w:link w:val="CommentSubjectChar"/>
    <w:uiPriority w:val="99"/>
    <w:rsid w:val="006357C5"/>
    <w:rPr>
      <w:b/>
      <w:bCs/>
    </w:rPr>
  </w:style>
  <w:style w:type="character" w:customStyle="1" w:styleId="CommentSubjectChar">
    <w:name w:val="Comment Subject Char"/>
    <w:basedOn w:val="CommentTextChar"/>
    <w:link w:val="CommentSubject"/>
    <w:uiPriority w:val="99"/>
    <w:rsid w:val="006357C5"/>
    <w:rPr>
      <w:rFonts w:eastAsia="Calibri"/>
      <w:b/>
      <w:bCs/>
      <w:sz w:val="20"/>
      <w:szCs w:val="20"/>
    </w:rPr>
  </w:style>
  <w:style w:type="paragraph" w:customStyle="1" w:styleId="ColumnsHeading">
    <w:name w:val="Columns Heading"/>
    <w:basedOn w:val="Normal"/>
    <w:uiPriority w:val="99"/>
    <w:rsid w:val="006357C5"/>
    <w:pPr>
      <w:spacing w:line="240" w:lineRule="auto"/>
    </w:pPr>
    <w:rPr>
      <w:rFonts w:ascii="Arial Narrow" w:eastAsia="Times New Roman" w:hAnsi="Arial Narrow" w:cs="Times New Roman"/>
      <w:sz w:val="17"/>
      <w:szCs w:val="17"/>
      <w:lang w:val="en-GB"/>
    </w:rPr>
  </w:style>
  <w:style w:type="paragraph" w:customStyle="1" w:styleId="SourceDescription">
    <w:name w:val="Source Description"/>
    <w:basedOn w:val="Normal"/>
    <w:uiPriority w:val="99"/>
    <w:rsid w:val="006357C5"/>
    <w:pPr>
      <w:tabs>
        <w:tab w:val="left" w:pos="850"/>
        <w:tab w:val="left" w:pos="1191"/>
        <w:tab w:val="left" w:pos="1531"/>
      </w:tabs>
      <w:spacing w:before="60" w:after="360" w:line="240" w:lineRule="auto"/>
      <w:jc w:val="both"/>
    </w:pPr>
    <w:rPr>
      <w:rFonts w:ascii="Times New Roman" w:eastAsia="Times New Roman" w:hAnsi="Times New Roman" w:cs="Times New Roman"/>
      <w:sz w:val="18"/>
      <w:szCs w:val="18"/>
      <w:lang w:val="en-GB"/>
    </w:rPr>
  </w:style>
  <w:style w:type="paragraph" w:customStyle="1" w:styleId="RowsHeading">
    <w:name w:val="Rows Heading"/>
    <w:basedOn w:val="Normal"/>
    <w:uiPriority w:val="99"/>
    <w:rsid w:val="006357C5"/>
    <w:pPr>
      <w:spacing w:line="240" w:lineRule="auto"/>
    </w:pPr>
    <w:rPr>
      <w:rFonts w:ascii="Arial Narrow" w:eastAsia="Times New Roman" w:hAnsi="Arial Narrow" w:cs="Times New Roman"/>
      <w:sz w:val="17"/>
      <w:szCs w:val="17"/>
      <w:lang w:val="en-GB"/>
    </w:rPr>
  </w:style>
  <w:style w:type="paragraph" w:customStyle="1" w:styleId="Cell">
    <w:name w:val="Cell"/>
    <w:basedOn w:val="Normal"/>
    <w:uiPriority w:val="99"/>
    <w:rsid w:val="006357C5"/>
    <w:pPr>
      <w:spacing w:line="240" w:lineRule="auto"/>
    </w:pPr>
    <w:rPr>
      <w:rFonts w:ascii="Arial Narrow" w:eastAsia="Times New Roman" w:hAnsi="Arial Narrow" w:cs="Times New Roman"/>
      <w:sz w:val="17"/>
      <w:szCs w:val="17"/>
      <w:lang w:val="en-GB"/>
    </w:rPr>
  </w:style>
  <w:style w:type="paragraph" w:customStyle="1" w:styleId="Default">
    <w:name w:val="Default"/>
    <w:uiPriority w:val="99"/>
    <w:rsid w:val="006357C5"/>
    <w:pPr>
      <w:autoSpaceDE w:val="0"/>
      <w:autoSpaceDN w:val="0"/>
      <w:adjustRightInd w:val="0"/>
      <w:spacing w:line="240" w:lineRule="auto"/>
    </w:pPr>
    <w:rPr>
      <w:rFonts w:eastAsia="Times New Roman"/>
      <w:color w:val="000000"/>
      <w:sz w:val="24"/>
      <w:szCs w:val="24"/>
      <w:lang w:val="es-ES" w:eastAsia="es-ES"/>
    </w:rPr>
  </w:style>
  <w:style w:type="paragraph" w:styleId="NoSpacing">
    <w:name w:val="No Spacing"/>
    <w:link w:val="NoSpacingChar"/>
    <w:uiPriority w:val="99"/>
    <w:qFormat/>
    <w:rsid w:val="006357C5"/>
    <w:pPr>
      <w:spacing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99"/>
    <w:locked/>
    <w:rsid w:val="006357C5"/>
    <w:rPr>
      <w:rFonts w:ascii="Calibri" w:eastAsia="Times New Roman" w:hAnsi="Calibri" w:cs="Times New Roman"/>
    </w:rPr>
  </w:style>
  <w:style w:type="table" w:styleId="TableGrid">
    <w:name w:val="Table Grid"/>
    <w:basedOn w:val="TableNormal"/>
    <w:uiPriority w:val="99"/>
    <w:rsid w:val="006357C5"/>
    <w:pPr>
      <w:spacing w:line="240" w:lineRule="auto"/>
    </w:pPr>
    <w:rPr>
      <w:rFonts w:eastAsia="Calibri"/>
      <w:sz w:val="20"/>
      <w:szCs w:val="20"/>
      <w:lang w:val="es-ES" w:eastAsia="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6357C5"/>
    <w:pPr>
      <w:spacing w:line="240" w:lineRule="auto"/>
    </w:pPr>
    <w:rPr>
      <w:sz w:val="20"/>
      <w:szCs w:val="20"/>
    </w:rPr>
  </w:style>
  <w:style w:type="character" w:customStyle="1" w:styleId="EndnoteTextChar">
    <w:name w:val="Endnote Text Char"/>
    <w:basedOn w:val="DefaultParagraphFont"/>
    <w:link w:val="EndnoteText"/>
    <w:uiPriority w:val="99"/>
    <w:semiHidden/>
    <w:rsid w:val="006357C5"/>
    <w:rPr>
      <w:rFonts w:eastAsia="Calibri"/>
      <w:sz w:val="20"/>
      <w:szCs w:val="20"/>
    </w:rPr>
  </w:style>
  <w:style w:type="character" w:styleId="EndnoteReference">
    <w:name w:val="endnote reference"/>
    <w:basedOn w:val="DefaultParagraphFont"/>
    <w:uiPriority w:val="99"/>
    <w:semiHidden/>
    <w:rsid w:val="006357C5"/>
    <w:rPr>
      <w:rFonts w:cs="Times New Roman"/>
      <w:vertAlign w:val="superscript"/>
    </w:rPr>
  </w:style>
  <w:style w:type="paragraph" w:styleId="Revision">
    <w:name w:val="Revision"/>
    <w:hidden/>
    <w:uiPriority w:val="99"/>
    <w:rsid w:val="006357C5"/>
    <w:pPr>
      <w:spacing w:line="240" w:lineRule="auto"/>
    </w:pPr>
    <w:rPr>
      <w:rFonts w:eastAsia="Calibri"/>
    </w:rPr>
  </w:style>
  <w:style w:type="paragraph" w:styleId="TOC4">
    <w:name w:val="toc 4"/>
    <w:basedOn w:val="Normal"/>
    <w:next w:val="Normal"/>
    <w:autoRedefine/>
    <w:uiPriority w:val="39"/>
    <w:rsid w:val="006357C5"/>
    <w:pPr>
      <w:ind w:left="440"/>
    </w:pPr>
    <w:rPr>
      <w:rFonts w:ascii="Calibri" w:hAnsi="Calibri"/>
      <w:sz w:val="20"/>
      <w:szCs w:val="20"/>
    </w:rPr>
  </w:style>
  <w:style w:type="paragraph" w:styleId="TOC5">
    <w:name w:val="toc 5"/>
    <w:basedOn w:val="Normal"/>
    <w:next w:val="Normal"/>
    <w:autoRedefine/>
    <w:uiPriority w:val="39"/>
    <w:rsid w:val="006357C5"/>
    <w:pPr>
      <w:ind w:left="660"/>
    </w:pPr>
    <w:rPr>
      <w:rFonts w:ascii="Calibri" w:hAnsi="Calibri"/>
      <w:sz w:val="20"/>
      <w:szCs w:val="20"/>
    </w:rPr>
  </w:style>
  <w:style w:type="paragraph" w:styleId="TOC6">
    <w:name w:val="toc 6"/>
    <w:basedOn w:val="Normal"/>
    <w:next w:val="Normal"/>
    <w:autoRedefine/>
    <w:uiPriority w:val="39"/>
    <w:rsid w:val="006357C5"/>
    <w:pPr>
      <w:ind w:left="880"/>
    </w:pPr>
    <w:rPr>
      <w:rFonts w:ascii="Calibri" w:hAnsi="Calibri"/>
      <w:sz w:val="20"/>
      <w:szCs w:val="20"/>
    </w:rPr>
  </w:style>
  <w:style w:type="paragraph" w:styleId="TOC7">
    <w:name w:val="toc 7"/>
    <w:basedOn w:val="Normal"/>
    <w:next w:val="Normal"/>
    <w:autoRedefine/>
    <w:uiPriority w:val="39"/>
    <w:rsid w:val="006357C5"/>
    <w:pPr>
      <w:ind w:left="1100"/>
    </w:pPr>
    <w:rPr>
      <w:rFonts w:ascii="Calibri" w:hAnsi="Calibri"/>
      <w:sz w:val="20"/>
      <w:szCs w:val="20"/>
    </w:rPr>
  </w:style>
  <w:style w:type="paragraph" w:styleId="TOC8">
    <w:name w:val="toc 8"/>
    <w:basedOn w:val="Normal"/>
    <w:next w:val="Normal"/>
    <w:autoRedefine/>
    <w:uiPriority w:val="39"/>
    <w:rsid w:val="006357C5"/>
    <w:pPr>
      <w:ind w:left="1320"/>
    </w:pPr>
    <w:rPr>
      <w:rFonts w:ascii="Calibri" w:hAnsi="Calibri"/>
      <w:sz w:val="20"/>
      <w:szCs w:val="20"/>
    </w:rPr>
  </w:style>
  <w:style w:type="paragraph" w:styleId="TOC9">
    <w:name w:val="toc 9"/>
    <w:basedOn w:val="Normal"/>
    <w:next w:val="Normal"/>
    <w:autoRedefine/>
    <w:uiPriority w:val="39"/>
    <w:rsid w:val="006357C5"/>
    <w:pPr>
      <w:ind w:left="1540"/>
    </w:pPr>
    <w:rPr>
      <w:rFonts w:ascii="Calibri" w:hAnsi="Calibri"/>
      <w:sz w:val="20"/>
      <w:szCs w:val="20"/>
    </w:rPr>
  </w:style>
  <w:style w:type="paragraph" w:styleId="Header">
    <w:name w:val="header"/>
    <w:basedOn w:val="Normal"/>
    <w:link w:val="HeaderChar"/>
    <w:uiPriority w:val="99"/>
    <w:rsid w:val="006357C5"/>
    <w:pPr>
      <w:tabs>
        <w:tab w:val="center" w:pos="4680"/>
        <w:tab w:val="right" w:pos="9360"/>
      </w:tabs>
      <w:spacing w:line="240" w:lineRule="auto"/>
    </w:pPr>
  </w:style>
  <w:style w:type="character" w:customStyle="1" w:styleId="HeaderChar">
    <w:name w:val="Header Char"/>
    <w:basedOn w:val="DefaultParagraphFont"/>
    <w:link w:val="Header"/>
    <w:uiPriority w:val="99"/>
    <w:rsid w:val="006357C5"/>
    <w:rPr>
      <w:rFonts w:eastAsia="Calibri"/>
    </w:rPr>
  </w:style>
  <w:style w:type="paragraph" w:styleId="Footer">
    <w:name w:val="footer"/>
    <w:basedOn w:val="Normal"/>
    <w:link w:val="FooterChar"/>
    <w:uiPriority w:val="99"/>
    <w:rsid w:val="006357C5"/>
    <w:pPr>
      <w:tabs>
        <w:tab w:val="center" w:pos="4680"/>
        <w:tab w:val="right" w:pos="9360"/>
      </w:tabs>
      <w:spacing w:line="240" w:lineRule="auto"/>
    </w:pPr>
  </w:style>
  <w:style w:type="character" w:customStyle="1" w:styleId="FooterChar">
    <w:name w:val="Footer Char"/>
    <w:basedOn w:val="DefaultParagraphFont"/>
    <w:link w:val="Footer"/>
    <w:uiPriority w:val="99"/>
    <w:rsid w:val="006357C5"/>
    <w:rPr>
      <w:rFonts w:eastAsia="Calibri"/>
    </w:rPr>
  </w:style>
  <w:style w:type="character" w:styleId="PlaceholderText">
    <w:name w:val="Placeholder Text"/>
    <w:basedOn w:val="DefaultParagraphFont"/>
    <w:uiPriority w:val="99"/>
    <w:semiHidden/>
    <w:rsid w:val="006357C5"/>
    <w:rPr>
      <w:rFonts w:cs="Times New Roman"/>
      <w:color w:val="808080"/>
    </w:rPr>
  </w:style>
  <w:style w:type="paragraph" w:styleId="Bibliography">
    <w:name w:val="Bibliography"/>
    <w:basedOn w:val="Normal"/>
    <w:next w:val="Normal"/>
    <w:uiPriority w:val="99"/>
    <w:rsid w:val="006357C5"/>
  </w:style>
  <w:style w:type="paragraph" w:customStyle="1" w:styleId="FigureHeading">
    <w:name w:val="Figure Heading"/>
    <w:basedOn w:val="Normal"/>
    <w:link w:val="FigureHeadingChar"/>
    <w:uiPriority w:val="99"/>
    <w:qFormat/>
    <w:rsid w:val="006357C5"/>
    <w:pPr>
      <w:jc w:val="center"/>
    </w:pPr>
    <w:rPr>
      <w:b/>
    </w:rPr>
  </w:style>
  <w:style w:type="paragraph" w:customStyle="1" w:styleId="TableHeading">
    <w:name w:val="Table Heading"/>
    <w:basedOn w:val="FigureHeading"/>
    <w:link w:val="TableHeadingChar"/>
    <w:uiPriority w:val="99"/>
    <w:qFormat/>
    <w:rsid w:val="006357C5"/>
  </w:style>
  <w:style w:type="character" w:customStyle="1" w:styleId="FigureHeadingChar">
    <w:name w:val="Figure Heading Char"/>
    <w:basedOn w:val="DefaultParagraphFont"/>
    <w:link w:val="FigureHeading"/>
    <w:uiPriority w:val="99"/>
    <w:locked/>
    <w:rsid w:val="006357C5"/>
    <w:rPr>
      <w:rFonts w:eastAsia="Calibri"/>
      <w:b/>
    </w:rPr>
  </w:style>
  <w:style w:type="paragraph" w:customStyle="1" w:styleId="Table">
    <w:name w:val="Table"/>
    <w:basedOn w:val="FigureHeading"/>
    <w:link w:val="TableChar"/>
    <w:uiPriority w:val="99"/>
    <w:rsid w:val="006357C5"/>
  </w:style>
  <w:style w:type="character" w:customStyle="1" w:styleId="TableHeadingChar">
    <w:name w:val="Table Heading Char"/>
    <w:basedOn w:val="DefaultParagraphFont"/>
    <w:link w:val="TableHeading"/>
    <w:uiPriority w:val="99"/>
    <w:locked/>
    <w:rsid w:val="006357C5"/>
    <w:rPr>
      <w:rFonts w:eastAsia="Calibri"/>
      <w:b/>
    </w:rPr>
  </w:style>
  <w:style w:type="character" w:customStyle="1" w:styleId="TableChar">
    <w:name w:val="Table Char"/>
    <w:basedOn w:val="DefaultParagraphFont"/>
    <w:link w:val="Table"/>
    <w:uiPriority w:val="99"/>
    <w:locked/>
    <w:rsid w:val="006357C5"/>
    <w:rPr>
      <w:rFonts w:eastAsia="Calibri"/>
      <w:b/>
    </w:rPr>
  </w:style>
  <w:style w:type="table" w:styleId="ColorfulGrid-Accent1">
    <w:name w:val="Colorful Grid Accent 1"/>
    <w:basedOn w:val="TableNormal"/>
    <w:uiPriority w:val="99"/>
    <w:rsid w:val="006357C5"/>
    <w:pPr>
      <w:spacing w:line="240" w:lineRule="auto"/>
    </w:pPr>
    <w:rPr>
      <w:rFonts w:eastAsia="Calibri"/>
      <w:color w:val="000000"/>
      <w:sz w:val="20"/>
      <w:szCs w:val="20"/>
      <w:lang w:val="es-ES" w:eastAsia="es-E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rFonts w:cs="Arial"/>
        <w:b/>
        <w:bCs/>
      </w:rPr>
      <w:tblPr/>
      <w:tcPr>
        <w:shd w:val="clear" w:color="auto" w:fill="B8CCE4"/>
      </w:tcPr>
    </w:tblStylePr>
    <w:tblStylePr w:type="lastRow">
      <w:rPr>
        <w:rFonts w:cs="Arial"/>
        <w:b/>
        <w:bCs/>
        <w:color w:val="000000"/>
      </w:rPr>
      <w:tblPr/>
      <w:tcPr>
        <w:shd w:val="clear" w:color="auto" w:fill="B8CCE4"/>
      </w:tcPr>
    </w:tblStylePr>
    <w:tblStylePr w:type="firstCol">
      <w:rPr>
        <w:rFonts w:cs="Arial"/>
        <w:color w:val="FFFFFF"/>
      </w:rPr>
      <w:tblPr/>
      <w:tcPr>
        <w:shd w:val="clear" w:color="auto" w:fill="365F91"/>
      </w:tcPr>
    </w:tblStylePr>
    <w:tblStylePr w:type="lastCol">
      <w:rPr>
        <w:rFonts w:cs="Arial"/>
        <w:color w:val="FFFFFF"/>
      </w:rPr>
      <w:tblPr/>
      <w:tcPr>
        <w:shd w:val="clear" w:color="auto" w:fill="365F91"/>
      </w:tcPr>
    </w:tblStylePr>
    <w:tblStylePr w:type="band1Vert">
      <w:rPr>
        <w:rFonts w:cs="Arial"/>
      </w:rPr>
      <w:tblPr/>
      <w:tcPr>
        <w:shd w:val="clear" w:color="auto" w:fill="A7BFDE"/>
      </w:tcPr>
    </w:tblStylePr>
    <w:tblStylePr w:type="band1Horz">
      <w:rPr>
        <w:rFonts w:cs="Arial"/>
      </w:rPr>
      <w:tblPr/>
      <w:tcPr>
        <w:shd w:val="clear" w:color="auto" w:fill="A7BFDE"/>
      </w:tcPr>
    </w:tblStylePr>
  </w:style>
  <w:style w:type="table" w:styleId="MediumGrid2-Accent1">
    <w:name w:val="Medium Grid 2 Accent 1"/>
    <w:basedOn w:val="TableNormal"/>
    <w:uiPriority w:val="99"/>
    <w:rsid w:val="006357C5"/>
    <w:pPr>
      <w:spacing w:line="240" w:lineRule="auto"/>
    </w:pPr>
    <w:rPr>
      <w:rFonts w:ascii="Cambria" w:eastAsia="Times New Roman" w:hAnsi="Cambria" w:cs="Times New Roman"/>
      <w:color w:val="000000"/>
      <w:sz w:val="20"/>
      <w:szCs w:val="20"/>
      <w:lang w:val="es-ES" w:eastAsia="es-E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paragraph" w:styleId="Caption">
    <w:name w:val="caption"/>
    <w:basedOn w:val="Normal"/>
    <w:next w:val="Normal"/>
    <w:uiPriority w:val="99"/>
    <w:qFormat/>
    <w:rsid w:val="006357C5"/>
    <w:pPr>
      <w:spacing w:after="200" w:line="240" w:lineRule="auto"/>
    </w:pPr>
    <w:rPr>
      <w:rFonts w:ascii="Calibri" w:hAnsi="Calibri" w:cs="Times New Roman"/>
      <w:b/>
      <w:bCs/>
      <w:color w:val="4F81BD"/>
      <w:sz w:val="18"/>
      <w:szCs w:val="18"/>
    </w:rPr>
  </w:style>
  <w:style w:type="character" w:customStyle="1" w:styleId="BalloonTextChar1">
    <w:name w:val="Balloon Text Char1"/>
    <w:basedOn w:val="DefaultParagraphFont"/>
    <w:uiPriority w:val="99"/>
    <w:semiHidden/>
    <w:rsid w:val="006357C5"/>
    <w:rPr>
      <w:rFonts w:ascii="Lucida Grande" w:hAnsi="Lucida Grande" w:cs="Times New Roman"/>
      <w:sz w:val="18"/>
      <w:szCs w:val="18"/>
    </w:rPr>
  </w:style>
  <w:style w:type="paragraph" w:styleId="NormalWeb">
    <w:name w:val="Normal (Web)"/>
    <w:basedOn w:val="Normal"/>
    <w:uiPriority w:val="99"/>
    <w:rsid w:val="006357C5"/>
    <w:pPr>
      <w:spacing w:beforeLines="1" w:afterLines="1" w:line="240" w:lineRule="auto"/>
    </w:pPr>
    <w:rPr>
      <w:rFonts w:ascii="Times" w:hAnsi="Times" w:cs="Times New Roman"/>
      <w:sz w:val="20"/>
      <w:szCs w:val="20"/>
    </w:rPr>
  </w:style>
  <w:style w:type="character" w:styleId="Strong">
    <w:name w:val="Strong"/>
    <w:basedOn w:val="DefaultParagraphFont"/>
    <w:uiPriority w:val="99"/>
    <w:qFormat/>
    <w:rsid w:val="006357C5"/>
    <w:rPr>
      <w:rFonts w:cs="Times New Roman"/>
      <w:b/>
    </w:rPr>
  </w:style>
  <w:style w:type="character" w:customStyle="1" w:styleId="titulo">
    <w:name w:val="titulo"/>
    <w:basedOn w:val="DefaultParagraphFont"/>
    <w:uiPriority w:val="99"/>
    <w:rsid w:val="006357C5"/>
    <w:rPr>
      <w:rFonts w:cs="Times New Roman"/>
    </w:rPr>
  </w:style>
  <w:style w:type="character" w:customStyle="1" w:styleId="subtitulo">
    <w:name w:val="subtitulo"/>
    <w:basedOn w:val="DefaultParagraphFont"/>
    <w:uiPriority w:val="99"/>
    <w:rsid w:val="006357C5"/>
    <w:rPr>
      <w:rFonts w:cs="Times New Roman"/>
    </w:rPr>
  </w:style>
  <w:style w:type="paragraph" w:customStyle="1" w:styleId="subtitulo1">
    <w:name w:val="subtitulo1"/>
    <w:basedOn w:val="Normal"/>
    <w:uiPriority w:val="99"/>
    <w:rsid w:val="006357C5"/>
    <w:pPr>
      <w:spacing w:beforeLines="1" w:afterLines="1" w:line="240" w:lineRule="auto"/>
    </w:pPr>
    <w:rPr>
      <w:rFonts w:ascii="Times" w:hAnsi="Times" w:cs="Times New Roman"/>
      <w:sz w:val="20"/>
      <w:szCs w:val="20"/>
    </w:rPr>
  </w:style>
  <w:style w:type="character" w:styleId="FollowedHyperlink">
    <w:name w:val="FollowedHyperlink"/>
    <w:basedOn w:val="DefaultParagraphFont"/>
    <w:uiPriority w:val="99"/>
    <w:rsid w:val="006357C5"/>
    <w:rPr>
      <w:rFonts w:cs="Times New Roman"/>
      <w:color w:val="0000FF"/>
      <w:u w:val="single"/>
    </w:rPr>
  </w:style>
  <w:style w:type="paragraph" w:customStyle="1" w:styleId="azulino">
    <w:name w:val="azulino"/>
    <w:basedOn w:val="Normal"/>
    <w:uiPriority w:val="99"/>
    <w:rsid w:val="006357C5"/>
    <w:pPr>
      <w:spacing w:beforeLines="1" w:afterLines="1" w:line="240" w:lineRule="auto"/>
    </w:pPr>
    <w:rPr>
      <w:rFonts w:ascii="Times" w:hAnsi="Times" w:cs="Times New Roman"/>
      <w:sz w:val="20"/>
      <w:szCs w:val="20"/>
    </w:rPr>
  </w:style>
  <w:style w:type="paragraph" w:customStyle="1" w:styleId="destacado-post">
    <w:name w:val="destacado-post"/>
    <w:basedOn w:val="Normal"/>
    <w:uiPriority w:val="99"/>
    <w:qFormat/>
    <w:rsid w:val="006357C5"/>
    <w:pPr>
      <w:spacing w:beforeLines="1" w:afterLines="1" w:line="240" w:lineRule="auto"/>
      <w:jc w:val="center"/>
    </w:pPr>
    <w:rPr>
      <w:rFonts w:ascii="Times" w:hAnsi="Times" w:cs="Times New Roman"/>
      <w:b/>
      <w:sz w:val="24"/>
      <w:szCs w:val="20"/>
    </w:rPr>
  </w:style>
  <w:style w:type="table" w:customStyle="1" w:styleId="LightGrid-Accent11">
    <w:name w:val="Light Grid - Accent 11"/>
    <w:uiPriority w:val="99"/>
    <w:rsid w:val="006357C5"/>
    <w:pPr>
      <w:spacing w:line="240" w:lineRule="auto"/>
    </w:pPr>
    <w:rPr>
      <w:rFonts w:ascii="Calibri" w:eastAsia="Calibri" w:hAnsi="Calibri" w:cs="Times New Roman"/>
      <w:sz w:val="20"/>
      <w:szCs w:val="20"/>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Style1">
    <w:name w:val="Style1"/>
    <w:basedOn w:val="ListParagraph"/>
    <w:uiPriority w:val="99"/>
    <w:rsid w:val="006357C5"/>
    <w:pPr>
      <w:numPr>
        <w:numId w:val="5"/>
      </w:numPr>
      <w:spacing w:line="360" w:lineRule="auto"/>
    </w:pPr>
    <w:rPr>
      <w:rFonts w:ascii="Times New Roman" w:hAnsi="Times New Roman" w:cs="Times New Roman"/>
      <w:b/>
      <w:sz w:val="24"/>
      <w:szCs w:val="24"/>
    </w:rPr>
  </w:style>
  <w:style w:type="paragraph" w:customStyle="1" w:styleId="Style2">
    <w:name w:val="Style2"/>
    <w:basedOn w:val="ListParagraph"/>
    <w:uiPriority w:val="99"/>
    <w:rsid w:val="006357C5"/>
    <w:pPr>
      <w:numPr>
        <w:ilvl w:val="1"/>
        <w:numId w:val="5"/>
      </w:numPr>
      <w:spacing w:line="360" w:lineRule="auto"/>
    </w:pPr>
    <w:rPr>
      <w:rFonts w:ascii="Times New Roman" w:hAnsi="Times New Roman" w:cs="Times New Roman"/>
      <w:i/>
      <w:sz w:val="24"/>
      <w:szCs w:val="24"/>
    </w:rPr>
  </w:style>
  <w:style w:type="paragraph" w:customStyle="1" w:styleId="Style3">
    <w:name w:val="Style3"/>
    <w:basedOn w:val="ListParagraph"/>
    <w:uiPriority w:val="99"/>
    <w:rsid w:val="006357C5"/>
    <w:pPr>
      <w:numPr>
        <w:ilvl w:val="2"/>
        <w:numId w:val="5"/>
      </w:numPr>
      <w:spacing w:line="360" w:lineRule="auto"/>
    </w:pPr>
    <w:rPr>
      <w:rFonts w:ascii="Times New Roman" w:hAnsi="Times New Roman" w:cs="Times New Roman"/>
      <w:sz w:val="24"/>
      <w:szCs w:val="24"/>
    </w:rPr>
  </w:style>
  <w:style w:type="table" w:styleId="MediumGrid1-Accent1">
    <w:name w:val="Medium Grid 1 Accent 1"/>
    <w:basedOn w:val="TableNormal"/>
    <w:uiPriority w:val="99"/>
    <w:rsid w:val="006357C5"/>
    <w:pPr>
      <w:spacing w:line="240" w:lineRule="auto"/>
    </w:pPr>
    <w:rPr>
      <w:rFonts w:ascii="Calibri" w:eastAsia="Calibri" w:hAnsi="Calibri" w:cs="Times New Roman"/>
      <w:sz w:val="24"/>
      <w:szCs w:val="24"/>
      <w:lang w:val="es-ES" w:eastAsia="es-E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LightList-Accent11">
    <w:name w:val="Light List - Accent 11"/>
    <w:uiPriority w:val="99"/>
    <w:rsid w:val="006357C5"/>
    <w:pPr>
      <w:spacing w:line="240" w:lineRule="auto"/>
    </w:pPr>
    <w:rPr>
      <w:rFonts w:ascii="Calibri" w:eastAsia="Calibri" w:hAnsi="Calibri"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MediumGrid3-Accent1">
    <w:name w:val="Medium Grid 3 Accent 1"/>
    <w:basedOn w:val="TableNormal"/>
    <w:uiPriority w:val="99"/>
    <w:rsid w:val="006357C5"/>
    <w:pPr>
      <w:spacing w:line="240" w:lineRule="auto"/>
    </w:pPr>
    <w:rPr>
      <w:rFonts w:ascii="Calibri" w:eastAsia="Calibri" w:hAnsi="Calibri" w:cs="Times New Roman"/>
      <w:sz w:val="20"/>
      <w:szCs w:val="20"/>
      <w:lang w:val="es-ES" w:eastAsia="es-E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itle1">
    <w:name w:val="Title1"/>
    <w:basedOn w:val="Normal"/>
    <w:next w:val="Normal"/>
    <w:uiPriority w:val="99"/>
    <w:rsid w:val="006357C5"/>
    <w:pPr>
      <w:pBdr>
        <w:bottom w:val="single" w:sz="8" w:space="4" w:color="4F81BD"/>
      </w:pBdr>
      <w:spacing w:after="300" w:line="240" w:lineRule="auto"/>
      <w:contextualSpacing/>
    </w:pPr>
    <w:rPr>
      <w:rFonts w:ascii="Calibri" w:eastAsia="Times New Roman" w:hAnsi="Calibri" w:cs="Times New Roman"/>
      <w:color w:val="183A63"/>
      <w:spacing w:val="5"/>
      <w:kern w:val="28"/>
      <w:sz w:val="52"/>
      <w:szCs w:val="52"/>
    </w:rPr>
  </w:style>
  <w:style w:type="character" w:customStyle="1" w:styleId="TitleChar">
    <w:name w:val="Title Char"/>
    <w:uiPriority w:val="99"/>
    <w:locked/>
    <w:rsid w:val="006357C5"/>
    <w:rPr>
      <w:rFonts w:ascii="Calibri" w:hAnsi="Calibri" w:cs="Times New Roman"/>
      <w:color w:val="183A63"/>
      <w:spacing w:val="5"/>
      <w:kern w:val="28"/>
      <w:sz w:val="52"/>
      <w:szCs w:val="52"/>
    </w:rPr>
  </w:style>
  <w:style w:type="character" w:styleId="PageNumber">
    <w:name w:val="page number"/>
    <w:basedOn w:val="DefaultParagraphFont"/>
    <w:uiPriority w:val="99"/>
    <w:rsid w:val="006357C5"/>
    <w:rPr>
      <w:rFonts w:cs="Times New Roman"/>
    </w:rPr>
  </w:style>
  <w:style w:type="table" w:customStyle="1" w:styleId="LightList-Accent111">
    <w:name w:val="Light List - Accent 111"/>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libri" w:eastAsia="Times New Roman"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libri" w:eastAsia="Times New Roman"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reftext">
    <w:name w:val="reftext"/>
    <w:basedOn w:val="DefaultParagraphFont"/>
    <w:uiPriority w:val="99"/>
    <w:rsid w:val="006357C5"/>
    <w:rPr>
      <w:rFonts w:cs="Times New Roman"/>
    </w:rPr>
  </w:style>
  <w:style w:type="paragraph" w:styleId="Title">
    <w:name w:val="Title"/>
    <w:basedOn w:val="Normal"/>
    <w:next w:val="Normal"/>
    <w:link w:val="TitleChar1"/>
    <w:uiPriority w:val="99"/>
    <w:qFormat/>
    <w:rsid w:val="006357C5"/>
    <w:pPr>
      <w:pBdr>
        <w:bottom w:val="single" w:sz="8" w:space="4" w:color="4F81BD"/>
      </w:pBdr>
      <w:spacing w:after="300" w:line="240" w:lineRule="auto"/>
      <w:contextualSpacing/>
    </w:pPr>
    <w:rPr>
      <w:rFonts w:ascii="Calibri" w:eastAsia="Times New Roman" w:hAnsi="Calibri" w:cs="Times New Roman"/>
      <w:color w:val="183A63"/>
      <w:spacing w:val="5"/>
      <w:kern w:val="28"/>
      <w:sz w:val="52"/>
      <w:szCs w:val="52"/>
    </w:rPr>
  </w:style>
  <w:style w:type="character" w:customStyle="1" w:styleId="TitleChar1">
    <w:name w:val="Title Char1"/>
    <w:basedOn w:val="DefaultParagraphFont"/>
    <w:link w:val="Title"/>
    <w:uiPriority w:val="99"/>
    <w:rsid w:val="006357C5"/>
    <w:rPr>
      <w:rFonts w:ascii="Calibri" w:eastAsia="Times New Roman" w:hAnsi="Calibri" w:cs="Times New Roman"/>
      <w:color w:val="183A63"/>
      <w:spacing w:val="5"/>
      <w:kern w:val="28"/>
      <w:sz w:val="52"/>
      <w:szCs w:val="52"/>
    </w:rPr>
  </w:style>
  <w:style w:type="table" w:customStyle="1" w:styleId="LightList-Accent112">
    <w:name w:val="Light List - Accent 112"/>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2">
    <w:name w:val="Light Grid - Accent 112"/>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libri" w:eastAsia="Times New Roman"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libri" w:eastAsia="Times New Roman"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ableGrid1">
    <w:name w:val="Table Grid1"/>
    <w:uiPriority w:val="99"/>
    <w:rsid w:val="006357C5"/>
    <w:pPr>
      <w:spacing w:line="240" w:lineRule="auto"/>
    </w:pPr>
    <w:rPr>
      <w:rFonts w:ascii="Times New Roman" w:eastAsia="Times New Roman" w:hAnsi="Times New Roman"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6357C5"/>
    <w:pPr>
      <w:spacing w:line="240" w:lineRule="auto"/>
    </w:pPr>
    <w:rPr>
      <w:rFonts w:ascii="Times New Roman" w:eastAsia="Times New Roman" w:hAnsi="Times New Roman"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113">
    <w:name w:val="Light List - Accent 113"/>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3">
    <w:name w:val="Light Grid - Accent 113"/>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libri" w:eastAsia="Times New Roman"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libri" w:eastAsia="Times New Roman"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DocumentMap">
    <w:name w:val="Document Map"/>
    <w:basedOn w:val="Normal"/>
    <w:link w:val="DocumentMapChar"/>
    <w:uiPriority w:val="99"/>
    <w:semiHidden/>
    <w:rsid w:val="006357C5"/>
    <w:pPr>
      <w:spacing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uiPriority w:val="99"/>
    <w:semiHidden/>
    <w:rsid w:val="006357C5"/>
    <w:rPr>
      <w:rFonts w:ascii="Tahoma" w:eastAsia="Times New Roman" w:hAnsi="Tahoma" w:cs="Tahoma"/>
      <w:sz w:val="16"/>
      <w:szCs w:val="16"/>
    </w:rPr>
  </w:style>
  <w:style w:type="character" w:styleId="IntenseEmphasis">
    <w:name w:val="Intense Emphasis"/>
    <w:basedOn w:val="DefaultParagraphFont"/>
    <w:uiPriority w:val="99"/>
    <w:qFormat/>
    <w:rsid w:val="006357C5"/>
    <w:rPr>
      <w:rFonts w:cs="Times New Roman"/>
      <w:b/>
      <w:bCs/>
      <w:i/>
      <w:iCs/>
      <w:color w:val="4F81BD"/>
    </w:rPr>
  </w:style>
  <w:style w:type="paragraph" w:styleId="Subtitle">
    <w:name w:val="Subtitle"/>
    <w:basedOn w:val="Normal"/>
    <w:next w:val="Normal"/>
    <w:link w:val="SubtitleChar"/>
    <w:uiPriority w:val="99"/>
    <w:qFormat/>
    <w:rsid w:val="006357C5"/>
    <w:pPr>
      <w:numPr>
        <w:ilvl w:val="1"/>
      </w:numPr>
      <w:spacing w:after="200"/>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99"/>
    <w:rsid w:val="006357C5"/>
    <w:rPr>
      <w:rFonts w:ascii="Cambria" w:eastAsia="Times New Roman" w:hAnsi="Cambria" w:cs="Times New Roman"/>
      <w:i/>
      <w:iCs/>
      <w:color w:val="4F81BD"/>
      <w:spacing w:val="15"/>
      <w:sz w:val="24"/>
      <w:szCs w:val="24"/>
    </w:rPr>
  </w:style>
  <w:style w:type="table" w:customStyle="1" w:styleId="LightGrid-Accent114">
    <w:name w:val="Light Grid - Accent 114"/>
    <w:uiPriority w:val="99"/>
    <w:rsid w:val="006357C5"/>
    <w:pPr>
      <w:spacing w:line="240" w:lineRule="auto"/>
    </w:pPr>
    <w:rPr>
      <w:rFonts w:ascii="Calibri" w:eastAsia="Calibri" w:hAnsi="Calibri" w:cs="Times New Roman"/>
      <w:sz w:val="20"/>
      <w:szCs w:val="20"/>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4">
    <w:name w:val="Light List - Accent 114"/>
    <w:uiPriority w:val="99"/>
    <w:rsid w:val="006357C5"/>
    <w:pPr>
      <w:spacing w:line="240" w:lineRule="auto"/>
    </w:pPr>
    <w:rPr>
      <w:rFonts w:ascii="Calibri" w:eastAsia="Calibri" w:hAnsi="Calibri"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111">
    <w:name w:val="Light List - Accent 1111"/>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1">
    <w:name w:val="Light Grid - Accent 1111"/>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libri" w:eastAsia="Times New Roman"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libri" w:eastAsia="Times New Roman"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21">
    <w:name w:val="Light List - Accent 1121"/>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21">
    <w:name w:val="Light Grid - Accent 1121"/>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libri" w:eastAsia="Times New Roman"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libri" w:eastAsia="Times New Roman"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31">
    <w:name w:val="Light List - Accent 1131"/>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31">
    <w:name w:val="Light Grid - Accent 1131"/>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libri" w:eastAsia="Times New Roman"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libri" w:eastAsia="Times New Roman"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TableofFigures">
    <w:name w:val="table of figures"/>
    <w:basedOn w:val="Normal"/>
    <w:next w:val="Normal"/>
    <w:uiPriority w:val="99"/>
    <w:rsid w:val="006357C5"/>
  </w:style>
  <w:style w:type="table" w:customStyle="1" w:styleId="LightList-Accent12">
    <w:name w:val="Light List - Accent 12"/>
    <w:uiPriority w:val="99"/>
    <w:rsid w:val="006357C5"/>
    <w:pPr>
      <w:spacing w:line="240" w:lineRule="auto"/>
    </w:pPr>
    <w:rPr>
      <w:rFonts w:ascii="Calibri" w:eastAsia="Calibri" w:hAnsi="Calibri" w:cs="Times New Roman"/>
      <w:sz w:val="20"/>
      <w:szCs w:val="20"/>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39" w:qFormat="1"/>
  </w:latentStyles>
  <w:style w:type="paragraph" w:default="1" w:styleId="Normal">
    <w:name w:val="Normal"/>
    <w:qFormat/>
    <w:rsid w:val="006357C5"/>
    <w:rPr>
      <w:rFonts w:eastAsia="Calibri"/>
    </w:rPr>
  </w:style>
  <w:style w:type="paragraph" w:styleId="Heading1">
    <w:name w:val="heading 1"/>
    <w:basedOn w:val="Normal"/>
    <w:next w:val="Normal"/>
    <w:link w:val="Heading1Char"/>
    <w:uiPriority w:val="99"/>
    <w:qFormat/>
    <w:rsid w:val="006357C5"/>
    <w:pPr>
      <w:keepNext/>
      <w:keepLines/>
      <w:spacing w:before="480"/>
      <w:jc w:val="center"/>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9"/>
    <w:qFormat/>
    <w:rsid w:val="006357C5"/>
    <w:pPr>
      <w:keepNext/>
      <w:keepLines/>
      <w:spacing w:before="200"/>
      <w:outlineLvl w:val="1"/>
    </w:pPr>
    <w:rPr>
      <w:rFonts w:ascii="Cambria" w:eastAsia="Times New Roman" w:hAnsi="Cambria" w:cs="Times New Roman"/>
      <w:b/>
      <w:bCs/>
      <w:color w:val="4F81BD"/>
      <w:sz w:val="26"/>
      <w:szCs w:val="26"/>
    </w:rPr>
  </w:style>
  <w:style w:type="paragraph" w:styleId="Heading3">
    <w:name w:val="heading 3"/>
    <w:aliases w:val="Box header"/>
    <w:basedOn w:val="Normal"/>
    <w:next w:val="Normal"/>
    <w:link w:val="Heading3Char"/>
    <w:uiPriority w:val="99"/>
    <w:qFormat/>
    <w:rsid w:val="006357C5"/>
    <w:pPr>
      <w:keepNext/>
      <w:keepLines/>
      <w:spacing w:before="200"/>
      <w:outlineLvl w:val="2"/>
    </w:pPr>
    <w:rPr>
      <w:rFonts w:ascii="Cambria" w:eastAsia="Times New Roman" w:hAnsi="Cambria" w:cs="Times New Roman"/>
      <w:b/>
      <w:bCs/>
      <w:color w:val="4F81BD"/>
    </w:rPr>
  </w:style>
  <w:style w:type="paragraph" w:styleId="Heading4">
    <w:name w:val="heading 4"/>
    <w:basedOn w:val="Normal"/>
    <w:next w:val="Normal"/>
    <w:link w:val="Heading4Char"/>
    <w:uiPriority w:val="99"/>
    <w:qFormat/>
    <w:rsid w:val="006357C5"/>
    <w:pPr>
      <w:keepNext/>
      <w:keepLines/>
      <w:spacing w:before="20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6357C5"/>
    <w:pPr>
      <w:keepNext/>
      <w:keepLines/>
      <w:spacing w:before="200"/>
      <w:outlineLvl w:val="4"/>
    </w:pPr>
    <w:rPr>
      <w:rFonts w:ascii="Cambria" w:eastAsia="Times New Roman" w:hAnsi="Cambria" w:cs="Times New Roman"/>
      <w:color w:val="243F60"/>
    </w:rPr>
  </w:style>
  <w:style w:type="paragraph" w:styleId="Heading6">
    <w:name w:val="heading 6"/>
    <w:basedOn w:val="Normal"/>
    <w:next w:val="Normal"/>
    <w:link w:val="Heading6Char"/>
    <w:uiPriority w:val="99"/>
    <w:qFormat/>
    <w:rsid w:val="006357C5"/>
    <w:pPr>
      <w:keepNext/>
      <w:keepLines/>
      <w:spacing w:before="200"/>
      <w:outlineLvl w:val="5"/>
    </w:pPr>
    <w:rPr>
      <w:rFonts w:ascii="Cambria" w:eastAsia="Times New Roman" w:hAnsi="Cambria" w:cs="Times New Roman"/>
      <w:i/>
      <w:iCs/>
      <w:color w:val="243F60"/>
    </w:rPr>
  </w:style>
  <w:style w:type="paragraph" w:styleId="Heading9">
    <w:name w:val="heading 9"/>
    <w:aliases w:val="Source"/>
    <w:basedOn w:val="Normal"/>
    <w:next w:val="Normal"/>
    <w:link w:val="Heading9Char"/>
    <w:uiPriority w:val="99"/>
    <w:qFormat/>
    <w:rsid w:val="006357C5"/>
    <w:pPr>
      <w:spacing w:before="240" w:after="60" w:line="240" w:lineRule="auto"/>
      <w:outlineLvl w:val="8"/>
    </w:pPr>
    <w:rPr>
      <w:rFonts w:eastAsia="Times New Roman"/>
      <w:sz w:val="18"/>
      <w:szCs w:val="18"/>
      <w:u w:val="single"/>
      <w:lang w:val="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357C5"/>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9"/>
    <w:rsid w:val="006357C5"/>
    <w:rPr>
      <w:rFonts w:ascii="Cambria" w:eastAsia="Times New Roman" w:hAnsi="Cambria" w:cs="Times New Roman"/>
      <w:b/>
      <w:bCs/>
      <w:color w:val="4F81BD"/>
      <w:sz w:val="26"/>
      <w:szCs w:val="26"/>
    </w:rPr>
  </w:style>
  <w:style w:type="character" w:customStyle="1" w:styleId="Heading3Char">
    <w:name w:val="Heading 3 Char"/>
    <w:aliases w:val="Box header Char"/>
    <w:basedOn w:val="DefaultParagraphFont"/>
    <w:link w:val="Heading3"/>
    <w:uiPriority w:val="99"/>
    <w:rsid w:val="006357C5"/>
    <w:rPr>
      <w:rFonts w:ascii="Cambria" w:eastAsia="Times New Roman" w:hAnsi="Cambria" w:cs="Times New Roman"/>
      <w:b/>
      <w:bCs/>
      <w:color w:val="4F81BD"/>
    </w:rPr>
  </w:style>
  <w:style w:type="character" w:customStyle="1" w:styleId="Heading4Char">
    <w:name w:val="Heading 4 Char"/>
    <w:basedOn w:val="DefaultParagraphFont"/>
    <w:link w:val="Heading4"/>
    <w:uiPriority w:val="99"/>
    <w:rsid w:val="006357C5"/>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6357C5"/>
    <w:rPr>
      <w:rFonts w:ascii="Cambria" w:eastAsia="Times New Roman" w:hAnsi="Cambria" w:cs="Times New Roman"/>
      <w:color w:val="243F60"/>
    </w:rPr>
  </w:style>
  <w:style w:type="character" w:customStyle="1" w:styleId="Heading6Char">
    <w:name w:val="Heading 6 Char"/>
    <w:basedOn w:val="DefaultParagraphFont"/>
    <w:link w:val="Heading6"/>
    <w:uiPriority w:val="99"/>
    <w:rsid w:val="006357C5"/>
    <w:rPr>
      <w:rFonts w:ascii="Cambria" w:eastAsia="Times New Roman" w:hAnsi="Cambria" w:cs="Times New Roman"/>
      <w:i/>
      <w:iCs/>
      <w:color w:val="243F60"/>
    </w:rPr>
  </w:style>
  <w:style w:type="character" w:customStyle="1" w:styleId="Heading9Char">
    <w:name w:val="Heading 9 Char"/>
    <w:aliases w:val="Source Char"/>
    <w:basedOn w:val="DefaultParagraphFont"/>
    <w:link w:val="Heading9"/>
    <w:uiPriority w:val="99"/>
    <w:rsid w:val="006357C5"/>
    <w:rPr>
      <w:rFonts w:eastAsia="Times New Roman"/>
      <w:sz w:val="18"/>
      <w:szCs w:val="18"/>
      <w:u w:val="single"/>
      <w:lang w:val="es-CO"/>
    </w:rPr>
  </w:style>
  <w:style w:type="paragraph" w:styleId="BodyText">
    <w:name w:val="Body Text"/>
    <w:basedOn w:val="Normal"/>
    <w:link w:val="BodyTextChar"/>
    <w:uiPriority w:val="99"/>
    <w:rsid w:val="006357C5"/>
    <w:pPr>
      <w:tabs>
        <w:tab w:val="left" w:pos="1361"/>
        <w:tab w:val="left" w:pos="1701"/>
        <w:tab w:val="left" w:pos="2041"/>
      </w:tabs>
      <w:spacing w:after="120" w:line="240" w:lineRule="auto"/>
      <w:ind w:left="510" w:right="510" w:firstLine="340"/>
      <w:jc w:val="both"/>
    </w:pPr>
    <w:rPr>
      <w:rFonts w:ascii="Times New Roman" w:eastAsia="Times New Roman" w:hAnsi="Times New Roman" w:cs="Times New Roman"/>
      <w:sz w:val="21"/>
      <w:szCs w:val="21"/>
    </w:rPr>
  </w:style>
  <w:style w:type="character" w:customStyle="1" w:styleId="BodyTextChar">
    <w:name w:val="Body Text Char"/>
    <w:basedOn w:val="DefaultParagraphFont"/>
    <w:link w:val="BodyText"/>
    <w:uiPriority w:val="99"/>
    <w:rsid w:val="006357C5"/>
    <w:rPr>
      <w:rFonts w:ascii="Times New Roman" w:eastAsia="Times New Roman" w:hAnsi="Times New Roman" w:cs="Times New Roman"/>
      <w:sz w:val="21"/>
      <w:szCs w:val="21"/>
    </w:rPr>
  </w:style>
  <w:style w:type="paragraph" w:styleId="ListBullet">
    <w:name w:val="List Bullet"/>
    <w:basedOn w:val="Normal"/>
    <w:uiPriority w:val="99"/>
    <w:rsid w:val="006357C5"/>
    <w:pPr>
      <w:numPr>
        <w:numId w:val="1"/>
      </w:numPr>
      <w:tabs>
        <w:tab w:val="clear" w:pos="850"/>
        <w:tab w:val="left" w:pos="1191"/>
      </w:tabs>
      <w:spacing w:after="120" w:line="240" w:lineRule="auto"/>
      <w:ind w:left="1191" w:right="510" w:hanging="340"/>
      <w:jc w:val="both"/>
    </w:pPr>
    <w:rPr>
      <w:rFonts w:ascii="Times New Roman" w:eastAsia="Times New Roman" w:hAnsi="Times New Roman" w:cs="Times New Roman"/>
      <w:sz w:val="21"/>
      <w:szCs w:val="21"/>
      <w:lang w:val="en-GB"/>
    </w:rPr>
  </w:style>
  <w:style w:type="paragraph" w:styleId="BalloonText">
    <w:name w:val="Balloon Text"/>
    <w:basedOn w:val="Normal"/>
    <w:link w:val="BalloonTextChar"/>
    <w:uiPriority w:val="99"/>
    <w:rsid w:val="006357C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357C5"/>
    <w:rPr>
      <w:rFonts w:ascii="Tahoma" w:eastAsia="Calibri" w:hAnsi="Tahoma" w:cs="Tahoma"/>
      <w:sz w:val="16"/>
      <w:szCs w:val="16"/>
    </w:rPr>
  </w:style>
  <w:style w:type="paragraph" w:styleId="TOCHeading">
    <w:name w:val="TOC Heading"/>
    <w:basedOn w:val="Heading1"/>
    <w:next w:val="Normal"/>
    <w:uiPriority w:val="39"/>
    <w:qFormat/>
    <w:rsid w:val="006357C5"/>
    <w:pPr>
      <w:outlineLvl w:val="9"/>
    </w:pPr>
  </w:style>
  <w:style w:type="paragraph" w:styleId="TOC1">
    <w:name w:val="toc 1"/>
    <w:basedOn w:val="Normal"/>
    <w:next w:val="Normal"/>
    <w:autoRedefine/>
    <w:uiPriority w:val="39"/>
    <w:rsid w:val="006357C5"/>
    <w:pPr>
      <w:tabs>
        <w:tab w:val="right" w:pos="9350"/>
      </w:tabs>
      <w:spacing w:before="240"/>
    </w:pPr>
    <w:rPr>
      <w:rFonts w:ascii="Cambria" w:hAnsi="Cambria"/>
      <w:b/>
      <w:bCs/>
      <w:caps/>
      <w:sz w:val="24"/>
      <w:szCs w:val="24"/>
    </w:rPr>
  </w:style>
  <w:style w:type="paragraph" w:styleId="TOC3">
    <w:name w:val="toc 3"/>
    <w:basedOn w:val="Normal"/>
    <w:next w:val="Normal"/>
    <w:autoRedefine/>
    <w:uiPriority w:val="39"/>
    <w:rsid w:val="006357C5"/>
    <w:pPr>
      <w:spacing w:line="240" w:lineRule="auto"/>
      <w:ind w:left="567"/>
    </w:pPr>
    <w:rPr>
      <w:sz w:val="20"/>
      <w:szCs w:val="20"/>
      <w:lang w:val="es-CO"/>
    </w:rPr>
  </w:style>
  <w:style w:type="character" w:styleId="Hyperlink">
    <w:name w:val="Hyperlink"/>
    <w:basedOn w:val="DefaultParagraphFont"/>
    <w:uiPriority w:val="99"/>
    <w:rsid w:val="006357C5"/>
    <w:rPr>
      <w:rFonts w:cs="Times New Roman"/>
      <w:color w:val="0000FF"/>
      <w:u w:val="single"/>
    </w:rPr>
  </w:style>
  <w:style w:type="paragraph" w:styleId="TOC2">
    <w:name w:val="toc 2"/>
    <w:basedOn w:val="Normal"/>
    <w:next w:val="Normal"/>
    <w:autoRedefine/>
    <w:uiPriority w:val="39"/>
    <w:rsid w:val="006357C5"/>
    <w:pPr>
      <w:tabs>
        <w:tab w:val="left" w:pos="567"/>
        <w:tab w:val="right" w:pos="9350"/>
      </w:tabs>
      <w:spacing w:before="100" w:line="240" w:lineRule="auto"/>
    </w:pPr>
    <w:rPr>
      <w:rFonts w:ascii="Calibri" w:hAnsi="Calibri"/>
      <w:b/>
      <w:bCs/>
      <w:sz w:val="20"/>
      <w:szCs w:val="20"/>
    </w:rPr>
  </w:style>
  <w:style w:type="paragraph" w:styleId="FootnoteText">
    <w:name w:val="footnote text"/>
    <w:aliases w:val="ft,FA Fu,Geneva 9,Font: Geneva 9,Boston 10,f,FN,Footnote Text Char Char Char Char Char,Footnote Text Char Char Char Char Char Char,(NECG) Footnote Text Char Char Char,fn,Footnote Text Char Char,Footnote Text1 Char,Car"/>
    <w:basedOn w:val="Normal"/>
    <w:link w:val="FootnoteTextChar1"/>
    <w:uiPriority w:val="99"/>
    <w:rsid w:val="006357C5"/>
    <w:pPr>
      <w:spacing w:line="240" w:lineRule="auto"/>
    </w:pPr>
    <w:rPr>
      <w:rFonts w:ascii="Calibri" w:hAnsi="Calibri" w:cs="Times New Roman"/>
      <w:sz w:val="20"/>
      <w:szCs w:val="20"/>
    </w:rPr>
  </w:style>
  <w:style w:type="character" w:customStyle="1" w:styleId="FootnoteTextChar">
    <w:name w:val="Footnote Text Char"/>
    <w:aliases w:val="ft Char,FA Fu Char,Geneva 9 Char,Font: Geneva 9 Char,Boston 10 Char,f Char,FN Char,Footnote Text Char Char Char Char Char Char1,Footnote Text Char Char Char Char Char Char Char,(NECG) Footnote Text Char Char Char Char,fn Char,Car Char"/>
    <w:basedOn w:val="DefaultParagraphFont"/>
    <w:uiPriority w:val="99"/>
    <w:semiHidden/>
    <w:rsid w:val="006357C5"/>
    <w:rPr>
      <w:rFonts w:eastAsia="Calibri"/>
      <w:sz w:val="20"/>
      <w:szCs w:val="20"/>
    </w:rPr>
  </w:style>
  <w:style w:type="character" w:customStyle="1" w:styleId="FootnoteTextChar1">
    <w:name w:val="Footnote Text Char1"/>
    <w:aliases w:val="ft Char1,FA Fu Char1,Geneva 9 Char1,Font: Geneva 9 Char1,Boston 10 Char1,f Char1,FN Char1,Footnote Text Char Char Char Char Char Char2,Footnote Text Char Char Char Char Char Char Char1,(NECG) Footnote Text Char Char Char Char1"/>
    <w:basedOn w:val="DefaultParagraphFont"/>
    <w:link w:val="FootnoteText"/>
    <w:uiPriority w:val="99"/>
    <w:locked/>
    <w:rsid w:val="006357C5"/>
    <w:rPr>
      <w:rFonts w:ascii="Calibri" w:eastAsia="Calibri" w:hAnsi="Calibri" w:cs="Times New Roman"/>
      <w:sz w:val="20"/>
      <w:szCs w:val="20"/>
    </w:rPr>
  </w:style>
  <w:style w:type="character" w:styleId="FootnoteReference">
    <w:name w:val="footnote reference"/>
    <w:aliases w:val="Ref,de nota al pie,註腳內容"/>
    <w:basedOn w:val="DefaultParagraphFont"/>
    <w:uiPriority w:val="99"/>
    <w:rsid w:val="006357C5"/>
    <w:rPr>
      <w:rFonts w:cs="Times New Roman"/>
      <w:vertAlign w:val="superscript"/>
    </w:rPr>
  </w:style>
  <w:style w:type="paragraph" w:styleId="ListParagraph">
    <w:name w:val="List Paragraph"/>
    <w:basedOn w:val="Normal"/>
    <w:uiPriority w:val="99"/>
    <w:qFormat/>
    <w:rsid w:val="006357C5"/>
    <w:pPr>
      <w:ind w:left="720"/>
      <w:contextualSpacing/>
    </w:pPr>
  </w:style>
  <w:style w:type="character" w:styleId="CommentReference">
    <w:name w:val="annotation reference"/>
    <w:basedOn w:val="DefaultParagraphFont"/>
    <w:uiPriority w:val="99"/>
    <w:rsid w:val="006357C5"/>
    <w:rPr>
      <w:rFonts w:cs="Times New Roman"/>
      <w:sz w:val="16"/>
      <w:szCs w:val="16"/>
    </w:rPr>
  </w:style>
  <w:style w:type="paragraph" w:styleId="CommentText">
    <w:name w:val="annotation text"/>
    <w:basedOn w:val="Normal"/>
    <w:link w:val="CommentTextChar"/>
    <w:uiPriority w:val="99"/>
    <w:rsid w:val="006357C5"/>
    <w:pPr>
      <w:spacing w:line="240" w:lineRule="auto"/>
    </w:pPr>
    <w:rPr>
      <w:sz w:val="20"/>
      <w:szCs w:val="20"/>
    </w:rPr>
  </w:style>
  <w:style w:type="character" w:customStyle="1" w:styleId="CommentTextChar">
    <w:name w:val="Comment Text Char"/>
    <w:basedOn w:val="DefaultParagraphFont"/>
    <w:link w:val="CommentText"/>
    <w:uiPriority w:val="99"/>
    <w:rsid w:val="006357C5"/>
    <w:rPr>
      <w:rFonts w:eastAsia="Calibri"/>
      <w:sz w:val="20"/>
      <w:szCs w:val="20"/>
    </w:rPr>
  </w:style>
  <w:style w:type="paragraph" w:styleId="CommentSubject">
    <w:name w:val="annotation subject"/>
    <w:basedOn w:val="CommentText"/>
    <w:next w:val="CommentText"/>
    <w:link w:val="CommentSubjectChar"/>
    <w:uiPriority w:val="99"/>
    <w:rsid w:val="006357C5"/>
    <w:rPr>
      <w:b/>
      <w:bCs/>
    </w:rPr>
  </w:style>
  <w:style w:type="character" w:customStyle="1" w:styleId="CommentSubjectChar">
    <w:name w:val="Comment Subject Char"/>
    <w:basedOn w:val="CommentTextChar"/>
    <w:link w:val="CommentSubject"/>
    <w:uiPriority w:val="99"/>
    <w:rsid w:val="006357C5"/>
    <w:rPr>
      <w:rFonts w:eastAsia="Calibri"/>
      <w:b/>
      <w:bCs/>
      <w:sz w:val="20"/>
      <w:szCs w:val="20"/>
    </w:rPr>
  </w:style>
  <w:style w:type="paragraph" w:customStyle="1" w:styleId="ColumnsHeading">
    <w:name w:val="Columns Heading"/>
    <w:basedOn w:val="Normal"/>
    <w:uiPriority w:val="99"/>
    <w:rsid w:val="006357C5"/>
    <w:pPr>
      <w:spacing w:line="240" w:lineRule="auto"/>
    </w:pPr>
    <w:rPr>
      <w:rFonts w:ascii="Arial Narrow" w:eastAsia="Times New Roman" w:hAnsi="Arial Narrow" w:cs="Times New Roman"/>
      <w:sz w:val="17"/>
      <w:szCs w:val="17"/>
      <w:lang w:val="en-GB"/>
    </w:rPr>
  </w:style>
  <w:style w:type="paragraph" w:customStyle="1" w:styleId="SourceDescription">
    <w:name w:val="Source Description"/>
    <w:basedOn w:val="Normal"/>
    <w:uiPriority w:val="99"/>
    <w:rsid w:val="006357C5"/>
    <w:pPr>
      <w:tabs>
        <w:tab w:val="left" w:pos="850"/>
        <w:tab w:val="left" w:pos="1191"/>
        <w:tab w:val="left" w:pos="1531"/>
      </w:tabs>
      <w:spacing w:before="60" w:after="360" w:line="240" w:lineRule="auto"/>
      <w:jc w:val="both"/>
    </w:pPr>
    <w:rPr>
      <w:rFonts w:ascii="Times New Roman" w:eastAsia="Times New Roman" w:hAnsi="Times New Roman" w:cs="Times New Roman"/>
      <w:sz w:val="18"/>
      <w:szCs w:val="18"/>
      <w:lang w:val="en-GB"/>
    </w:rPr>
  </w:style>
  <w:style w:type="paragraph" w:customStyle="1" w:styleId="RowsHeading">
    <w:name w:val="Rows Heading"/>
    <w:basedOn w:val="Normal"/>
    <w:uiPriority w:val="99"/>
    <w:rsid w:val="006357C5"/>
    <w:pPr>
      <w:spacing w:line="240" w:lineRule="auto"/>
    </w:pPr>
    <w:rPr>
      <w:rFonts w:ascii="Arial Narrow" w:eastAsia="Times New Roman" w:hAnsi="Arial Narrow" w:cs="Times New Roman"/>
      <w:sz w:val="17"/>
      <w:szCs w:val="17"/>
      <w:lang w:val="en-GB"/>
    </w:rPr>
  </w:style>
  <w:style w:type="paragraph" w:customStyle="1" w:styleId="Cell">
    <w:name w:val="Cell"/>
    <w:basedOn w:val="Normal"/>
    <w:uiPriority w:val="99"/>
    <w:rsid w:val="006357C5"/>
    <w:pPr>
      <w:spacing w:line="240" w:lineRule="auto"/>
    </w:pPr>
    <w:rPr>
      <w:rFonts w:ascii="Arial Narrow" w:eastAsia="Times New Roman" w:hAnsi="Arial Narrow" w:cs="Times New Roman"/>
      <w:sz w:val="17"/>
      <w:szCs w:val="17"/>
      <w:lang w:val="en-GB"/>
    </w:rPr>
  </w:style>
  <w:style w:type="paragraph" w:customStyle="1" w:styleId="Default">
    <w:name w:val="Default"/>
    <w:uiPriority w:val="99"/>
    <w:rsid w:val="006357C5"/>
    <w:pPr>
      <w:autoSpaceDE w:val="0"/>
      <w:autoSpaceDN w:val="0"/>
      <w:adjustRightInd w:val="0"/>
      <w:spacing w:line="240" w:lineRule="auto"/>
    </w:pPr>
    <w:rPr>
      <w:rFonts w:eastAsia="Times New Roman"/>
      <w:color w:val="000000"/>
      <w:sz w:val="24"/>
      <w:szCs w:val="24"/>
      <w:lang w:val="es-ES" w:eastAsia="es-ES"/>
    </w:rPr>
  </w:style>
  <w:style w:type="paragraph" w:styleId="NoSpacing">
    <w:name w:val="No Spacing"/>
    <w:link w:val="NoSpacingChar"/>
    <w:uiPriority w:val="99"/>
    <w:qFormat/>
    <w:rsid w:val="006357C5"/>
    <w:pPr>
      <w:spacing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99"/>
    <w:locked/>
    <w:rsid w:val="006357C5"/>
    <w:rPr>
      <w:rFonts w:ascii="Calibri" w:eastAsia="Times New Roman" w:hAnsi="Calibri" w:cs="Times New Roman"/>
    </w:rPr>
  </w:style>
  <w:style w:type="table" w:styleId="TableGrid">
    <w:name w:val="Table Grid"/>
    <w:basedOn w:val="TableNormal"/>
    <w:uiPriority w:val="99"/>
    <w:rsid w:val="006357C5"/>
    <w:pPr>
      <w:spacing w:line="240" w:lineRule="auto"/>
    </w:pPr>
    <w:rPr>
      <w:rFonts w:eastAsia="Calibri"/>
      <w:sz w:val="20"/>
      <w:szCs w:val="20"/>
      <w:lang w:val="es-ES" w:eastAsia="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6357C5"/>
    <w:pPr>
      <w:spacing w:line="240" w:lineRule="auto"/>
    </w:pPr>
    <w:rPr>
      <w:sz w:val="20"/>
      <w:szCs w:val="20"/>
    </w:rPr>
  </w:style>
  <w:style w:type="character" w:customStyle="1" w:styleId="EndnoteTextChar">
    <w:name w:val="Endnote Text Char"/>
    <w:basedOn w:val="DefaultParagraphFont"/>
    <w:link w:val="EndnoteText"/>
    <w:uiPriority w:val="99"/>
    <w:semiHidden/>
    <w:rsid w:val="006357C5"/>
    <w:rPr>
      <w:rFonts w:eastAsia="Calibri"/>
      <w:sz w:val="20"/>
      <w:szCs w:val="20"/>
    </w:rPr>
  </w:style>
  <w:style w:type="character" w:styleId="EndnoteReference">
    <w:name w:val="endnote reference"/>
    <w:basedOn w:val="DefaultParagraphFont"/>
    <w:uiPriority w:val="99"/>
    <w:semiHidden/>
    <w:rsid w:val="006357C5"/>
    <w:rPr>
      <w:rFonts w:cs="Times New Roman"/>
      <w:vertAlign w:val="superscript"/>
    </w:rPr>
  </w:style>
  <w:style w:type="paragraph" w:styleId="Revision">
    <w:name w:val="Revision"/>
    <w:hidden/>
    <w:uiPriority w:val="99"/>
    <w:rsid w:val="006357C5"/>
    <w:pPr>
      <w:spacing w:line="240" w:lineRule="auto"/>
    </w:pPr>
    <w:rPr>
      <w:rFonts w:eastAsia="Calibri"/>
    </w:rPr>
  </w:style>
  <w:style w:type="paragraph" w:styleId="TOC4">
    <w:name w:val="toc 4"/>
    <w:basedOn w:val="Normal"/>
    <w:next w:val="Normal"/>
    <w:autoRedefine/>
    <w:uiPriority w:val="39"/>
    <w:rsid w:val="006357C5"/>
    <w:pPr>
      <w:ind w:left="440"/>
    </w:pPr>
    <w:rPr>
      <w:rFonts w:ascii="Calibri" w:hAnsi="Calibri"/>
      <w:sz w:val="20"/>
      <w:szCs w:val="20"/>
    </w:rPr>
  </w:style>
  <w:style w:type="paragraph" w:styleId="TOC5">
    <w:name w:val="toc 5"/>
    <w:basedOn w:val="Normal"/>
    <w:next w:val="Normal"/>
    <w:autoRedefine/>
    <w:uiPriority w:val="39"/>
    <w:rsid w:val="006357C5"/>
    <w:pPr>
      <w:ind w:left="660"/>
    </w:pPr>
    <w:rPr>
      <w:rFonts w:ascii="Calibri" w:hAnsi="Calibri"/>
      <w:sz w:val="20"/>
      <w:szCs w:val="20"/>
    </w:rPr>
  </w:style>
  <w:style w:type="paragraph" w:styleId="TOC6">
    <w:name w:val="toc 6"/>
    <w:basedOn w:val="Normal"/>
    <w:next w:val="Normal"/>
    <w:autoRedefine/>
    <w:uiPriority w:val="39"/>
    <w:rsid w:val="006357C5"/>
    <w:pPr>
      <w:ind w:left="880"/>
    </w:pPr>
    <w:rPr>
      <w:rFonts w:ascii="Calibri" w:hAnsi="Calibri"/>
      <w:sz w:val="20"/>
      <w:szCs w:val="20"/>
    </w:rPr>
  </w:style>
  <w:style w:type="paragraph" w:styleId="TOC7">
    <w:name w:val="toc 7"/>
    <w:basedOn w:val="Normal"/>
    <w:next w:val="Normal"/>
    <w:autoRedefine/>
    <w:uiPriority w:val="39"/>
    <w:rsid w:val="006357C5"/>
    <w:pPr>
      <w:ind w:left="1100"/>
    </w:pPr>
    <w:rPr>
      <w:rFonts w:ascii="Calibri" w:hAnsi="Calibri"/>
      <w:sz w:val="20"/>
      <w:szCs w:val="20"/>
    </w:rPr>
  </w:style>
  <w:style w:type="paragraph" w:styleId="TOC8">
    <w:name w:val="toc 8"/>
    <w:basedOn w:val="Normal"/>
    <w:next w:val="Normal"/>
    <w:autoRedefine/>
    <w:uiPriority w:val="39"/>
    <w:rsid w:val="006357C5"/>
    <w:pPr>
      <w:ind w:left="1320"/>
    </w:pPr>
    <w:rPr>
      <w:rFonts w:ascii="Calibri" w:hAnsi="Calibri"/>
      <w:sz w:val="20"/>
      <w:szCs w:val="20"/>
    </w:rPr>
  </w:style>
  <w:style w:type="paragraph" w:styleId="TOC9">
    <w:name w:val="toc 9"/>
    <w:basedOn w:val="Normal"/>
    <w:next w:val="Normal"/>
    <w:autoRedefine/>
    <w:uiPriority w:val="39"/>
    <w:rsid w:val="006357C5"/>
    <w:pPr>
      <w:ind w:left="1540"/>
    </w:pPr>
    <w:rPr>
      <w:rFonts w:ascii="Calibri" w:hAnsi="Calibri"/>
      <w:sz w:val="20"/>
      <w:szCs w:val="20"/>
    </w:rPr>
  </w:style>
  <w:style w:type="paragraph" w:styleId="Header">
    <w:name w:val="header"/>
    <w:basedOn w:val="Normal"/>
    <w:link w:val="HeaderChar"/>
    <w:uiPriority w:val="99"/>
    <w:rsid w:val="006357C5"/>
    <w:pPr>
      <w:tabs>
        <w:tab w:val="center" w:pos="4680"/>
        <w:tab w:val="right" w:pos="9360"/>
      </w:tabs>
      <w:spacing w:line="240" w:lineRule="auto"/>
    </w:pPr>
  </w:style>
  <w:style w:type="character" w:customStyle="1" w:styleId="HeaderChar">
    <w:name w:val="Header Char"/>
    <w:basedOn w:val="DefaultParagraphFont"/>
    <w:link w:val="Header"/>
    <w:uiPriority w:val="99"/>
    <w:rsid w:val="006357C5"/>
    <w:rPr>
      <w:rFonts w:eastAsia="Calibri"/>
    </w:rPr>
  </w:style>
  <w:style w:type="paragraph" w:styleId="Footer">
    <w:name w:val="footer"/>
    <w:basedOn w:val="Normal"/>
    <w:link w:val="FooterChar"/>
    <w:uiPriority w:val="99"/>
    <w:rsid w:val="006357C5"/>
    <w:pPr>
      <w:tabs>
        <w:tab w:val="center" w:pos="4680"/>
        <w:tab w:val="right" w:pos="9360"/>
      </w:tabs>
      <w:spacing w:line="240" w:lineRule="auto"/>
    </w:pPr>
  </w:style>
  <w:style w:type="character" w:customStyle="1" w:styleId="FooterChar">
    <w:name w:val="Footer Char"/>
    <w:basedOn w:val="DefaultParagraphFont"/>
    <w:link w:val="Footer"/>
    <w:uiPriority w:val="99"/>
    <w:rsid w:val="006357C5"/>
    <w:rPr>
      <w:rFonts w:eastAsia="Calibri"/>
    </w:rPr>
  </w:style>
  <w:style w:type="character" w:styleId="PlaceholderText">
    <w:name w:val="Placeholder Text"/>
    <w:basedOn w:val="DefaultParagraphFont"/>
    <w:uiPriority w:val="99"/>
    <w:semiHidden/>
    <w:rsid w:val="006357C5"/>
    <w:rPr>
      <w:rFonts w:cs="Times New Roman"/>
      <w:color w:val="808080"/>
    </w:rPr>
  </w:style>
  <w:style w:type="paragraph" w:styleId="Bibliography">
    <w:name w:val="Bibliography"/>
    <w:basedOn w:val="Normal"/>
    <w:next w:val="Normal"/>
    <w:uiPriority w:val="99"/>
    <w:rsid w:val="006357C5"/>
  </w:style>
  <w:style w:type="paragraph" w:customStyle="1" w:styleId="FigureHeading">
    <w:name w:val="Figure Heading"/>
    <w:basedOn w:val="Normal"/>
    <w:link w:val="FigureHeadingChar"/>
    <w:uiPriority w:val="99"/>
    <w:qFormat/>
    <w:rsid w:val="006357C5"/>
    <w:pPr>
      <w:jc w:val="center"/>
    </w:pPr>
    <w:rPr>
      <w:b/>
    </w:rPr>
  </w:style>
  <w:style w:type="paragraph" w:customStyle="1" w:styleId="TableHeading">
    <w:name w:val="Table Heading"/>
    <w:basedOn w:val="FigureHeading"/>
    <w:link w:val="TableHeadingChar"/>
    <w:uiPriority w:val="99"/>
    <w:qFormat/>
    <w:rsid w:val="006357C5"/>
  </w:style>
  <w:style w:type="character" w:customStyle="1" w:styleId="FigureHeadingChar">
    <w:name w:val="Figure Heading Char"/>
    <w:basedOn w:val="DefaultParagraphFont"/>
    <w:link w:val="FigureHeading"/>
    <w:uiPriority w:val="99"/>
    <w:locked/>
    <w:rsid w:val="006357C5"/>
    <w:rPr>
      <w:rFonts w:eastAsia="Calibri"/>
      <w:b/>
    </w:rPr>
  </w:style>
  <w:style w:type="paragraph" w:customStyle="1" w:styleId="Table">
    <w:name w:val="Table"/>
    <w:basedOn w:val="FigureHeading"/>
    <w:link w:val="TableChar"/>
    <w:uiPriority w:val="99"/>
    <w:rsid w:val="006357C5"/>
  </w:style>
  <w:style w:type="character" w:customStyle="1" w:styleId="TableHeadingChar">
    <w:name w:val="Table Heading Char"/>
    <w:basedOn w:val="DefaultParagraphFont"/>
    <w:link w:val="TableHeading"/>
    <w:uiPriority w:val="99"/>
    <w:locked/>
    <w:rsid w:val="006357C5"/>
    <w:rPr>
      <w:rFonts w:eastAsia="Calibri"/>
      <w:b/>
    </w:rPr>
  </w:style>
  <w:style w:type="character" w:customStyle="1" w:styleId="TableChar">
    <w:name w:val="Table Char"/>
    <w:basedOn w:val="DefaultParagraphFont"/>
    <w:link w:val="Table"/>
    <w:uiPriority w:val="99"/>
    <w:locked/>
    <w:rsid w:val="006357C5"/>
    <w:rPr>
      <w:rFonts w:eastAsia="Calibri"/>
      <w:b/>
    </w:rPr>
  </w:style>
  <w:style w:type="table" w:styleId="ColorfulGrid-Accent1">
    <w:name w:val="Colorful Grid Accent 1"/>
    <w:basedOn w:val="TableNormal"/>
    <w:uiPriority w:val="99"/>
    <w:rsid w:val="006357C5"/>
    <w:pPr>
      <w:spacing w:line="240" w:lineRule="auto"/>
    </w:pPr>
    <w:rPr>
      <w:rFonts w:eastAsia="Calibri"/>
      <w:color w:val="000000"/>
      <w:sz w:val="20"/>
      <w:szCs w:val="20"/>
      <w:lang w:val="es-ES" w:eastAsia="es-E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rFonts w:cs="Arial"/>
        <w:b/>
        <w:bCs/>
      </w:rPr>
      <w:tblPr/>
      <w:tcPr>
        <w:shd w:val="clear" w:color="auto" w:fill="B8CCE4"/>
      </w:tcPr>
    </w:tblStylePr>
    <w:tblStylePr w:type="lastRow">
      <w:rPr>
        <w:rFonts w:cs="Arial"/>
        <w:b/>
        <w:bCs/>
        <w:color w:val="000000"/>
      </w:rPr>
      <w:tblPr/>
      <w:tcPr>
        <w:shd w:val="clear" w:color="auto" w:fill="B8CCE4"/>
      </w:tcPr>
    </w:tblStylePr>
    <w:tblStylePr w:type="firstCol">
      <w:rPr>
        <w:rFonts w:cs="Arial"/>
        <w:color w:val="FFFFFF"/>
      </w:rPr>
      <w:tblPr/>
      <w:tcPr>
        <w:shd w:val="clear" w:color="auto" w:fill="365F91"/>
      </w:tcPr>
    </w:tblStylePr>
    <w:tblStylePr w:type="lastCol">
      <w:rPr>
        <w:rFonts w:cs="Arial"/>
        <w:color w:val="FFFFFF"/>
      </w:rPr>
      <w:tblPr/>
      <w:tcPr>
        <w:shd w:val="clear" w:color="auto" w:fill="365F91"/>
      </w:tcPr>
    </w:tblStylePr>
    <w:tblStylePr w:type="band1Vert">
      <w:rPr>
        <w:rFonts w:cs="Arial"/>
      </w:rPr>
      <w:tblPr/>
      <w:tcPr>
        <w:shd w:val="clear" w:color="auto" w:fill="A7BFDE"/>
      </w:tcPr>
    </w:tblStylePr>
    <w:tblStylePr w:type="band1Horz">
      <w:rPr>
        <w:rFonts w:cs="Arial"/>
      </w:rPr>
      <w:tblPr/>
      <w:tcPr>
        <w:shd w:val="clear" w:color="auto" w:fill="A7BFDE"/>
      </w:tcPr>
    </w:tblStylePr>
  </w:style>
  <w:style w:type="table" w:styleId="MediumGrid2-Accent1">
    <w:name w:val="Medium Grid 2 Accent 1"/>
    <w:basedOn w:val="TableNormal"/>
    <w:uiPriority w:val="99"/>
    <w:rsid w:val="006357C5"/>
    <w:pPr>
      <w:spacing w:line="240" w:lineRule="auto"/>
    </w:pPr>
    <w:rPr>
      <w:rFonts w:ascii="Cambria" w:eastAsia="Times New Roman" w:hAnsi="Cambria" w:cs="Times New Roman"/>
      <w:color w:val="000000"/>
      <w:sz w:val="20"/>
      <w:szCs w:val="20"/>
      <w:lang w:val="es-ES" w:eastAsia="es-E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paragraph" w:styleId="Caption">
    <w:name w:val="caption"/>
    <w:basedOn w:val="Normal"/>
    <w:next w:val="Normal"/>
    <w:uiPriority w:val="99"/>
    <w:qFormat/>
    <w:rsid w:val="006357C5"/>
    <w:pPr>
      <w:spacing w:after="200" w:line="240" w:lineRule="auto"/>
    </w:pPr>
    <w:rPr>
      <w:rFonts w:ascii="Calibri" w:hAnsi="Calibri" w:cs="Times New Roman"/>
      <w:b/>
      <w:bCs/>
      <w:color w:val="4F81BD"/>
      <w:sz w:val="18"/>
      <w:szCs w:val="18"/>
    </w:rPr>
  </w:style>
  <w:style w:type="character" w:customStyle="1" w:styleId="BalloonTextChar1">
    <w:name w:val="Balloon Text Char1"/>
    <w:basedOn w:val="DefaultParagraphFont"/>
    <w:uiPriority w:val="99"/>
    <w:semiHidden/>
    <w:rsid w:val="006357C5"/>
    <w:rPr>
      <w:rFonts w:ascii="Lucida Grande" w:hAnsi="Lucida Grande" w:cs="Times New Roman"/>
      <w:sz w:val="18"/>
      <w:szCs w:val="18"/>
    </w:rPr>
  </w:style>
  <w:style w:type="paragraph" w:styleId="NormalWeb">
    <w:name w:val="Normal (Web)"/>
    <w:basedOn w:val="Normal"/>
    <w:uiPriority w:val="99"/>
    <w:rsid w:val="006357C5"/>
    <w:pPr>
      <w:spacing w:beforeLines="1" w:afterLines="1" w:line="240" w:lineRule="auto"/>
    </w:pPr>
    <w:rPr>
      <w:rFonts w:ascii="Times" w:hAnsi="Times" w:cs="Times New Roman"/>
      <w:sz w:val="20"/>
      <w:szCs w:val="20"/>
    </w:rPr>
  </w:style>
  <w:style w:type="character" w:styleId="Strong">
    <w:name w:val="Strong"/>
    <w:basedOn w:val="DefaultParagraphFont"/>
    <w:uiPriority w:val="99"/>
    <w:qFormat/>
    <w:rsid w:val="006357C5"/>
    <w:rPr>
      <w:rFonts w:cs="Times New Roman"/>
      <w:b/>
    </w:rPr>
  </w:style>
  <w:style w:type="character" w:customStyle="1" w:styleId="titulo">
    <w:name w:val="titulo"/>
    <w:basedOn w:val="DefaultParagraphFont"/>
    <w:uiPriority w:val="99"/>
    <w:rsid w:val="006357C5"/>
    <w:rPr>
      <w:rFonts w:cs="Times New Roman"/>
    </w:rPr>
  </w:style>
  <w:style w:type="character" w:customStyle="1" w:styleId="subtitulo">
    <w:name w:val="subtitulo"/>
    <w:basedOn w:val="DefaultParagraphFont"/>
    <w:uiPriority w:val="99"/>
    <w:rsid w:val="006357C5"/>
    <w:rPr>
      <w:rFonts w:cs="Times New Roman"/>
    </w:rPr>
  </w:style>
  <w:style w:type="paragraph" w:customStyle="1" w:styleId="subtitulo1">
    <w:name w:val="subtitulo1"/>
    <w:basedOn w:val="Normal"/>
    <w:uiPriority w:val="99"/>
    <w:rsid w:val="006357C5"/>
    <w:pPr>
      <w:spacing w:beforeLines="1" w:afterLines="1" w:line="240" w:lineRule="auto"/>
    </w:pPr>
    <w:rPr>
      <w:rFonts w:ascii="Times" w:hAnsi="Times" w:cs="Times New Roman"/>
      <w:sz w:val="20"/>
      <w:szCs w:val="20"/>
    </w:rPr>
  </w:style>
  <w:style w:type="character" w:styleId="FollowedHyperlink">
    <w:name w:val="FollowedHyperlink"/>
    <w:basedOn w:val="DefaultParagraphFont"/>
    <w:uiPriority w:val="99"/>
    <w:rsid w:val="006357C5"/>
    <w:rPr>
      <w:rFonts w:cs="Times New Roman"/>
      <w:color w:val="0000FF"/>
      <w:u w:val="single"/>
    </w:rPr>
  </w:style>
  <w:style w:type="paragraph" w:customStyle="1" w:styleId="azulino">
    <w:name w:val="azulino"/>
    <w:basedOn w:val="Normal"/>
    <w:uiPriority w:val="99"/>
    <w:rsid w:val="006357C5"/>
    <w:pPr>
      <w:spacing w:beforeLines="1" w:afterLines="1" w:line="240" w:lineRule="auto"/>
    </w:pPr>
    <w:rPr>
      <w:rFonts w:ascii="Times" w:hAnsi="Times" w:cs="Times New Roman"/>
      <w:sz w:val="20"/>
      <w:szCs w:val="20"/>
    </w:rPr>
  </w:style>
  <w:style w:type="paragraph" w:customStyle="1" w:styleId="destacado-post">
    <w:name w:val="destacado-post"/>
    <w:basedOn w:val="Normal"/>
    <w:uiPriority w:val="99"/>
    <w:qFormat/>
    <w:rsid w:val="006357C5"/>
    <w:pPr>
      <w:spacing w:beforeLines="1" w:afterLines="1" w:line="240" w:lineRule="auto"/>
      <w:jc w:val="center"/>
    </w:pPr>
    <w:rPr>
      <w:rFonts w:ascii="Times" w:hAnsi="Times" w:cs="Times New Roman"/>
      <w:b/>
      <w:sz w:val="24"/>
      <w:szCs w:val="20"/>
    </w:rPr>
  </w:style>
  <w:style w:type="table" w:customStyle="1" w:styleId="LightGrid-Accent11">
    <w:name w:val="Light Grid - Accent 11"/>
    <w:uiPriority w:val="99"/>
    <w:rsid w:val="006357C5"/>
    <w:pPr>
      <w:spacing w:line="240" w:lineRule="auto"/>
    </w:pPr>
    <w:rPr>
      <w:rFonts w:ascii="Calibri" w:eastAsia="Calibri" w:hAnsi="Calibri" w:cs="Times New Roman"/>
      <w:sz w:val="20"/>
      <w:szCs w:val="20"/>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Style1">
    <w:name w:val="Style1"/>
    <w:basedOn w:val="ListParagraph"/>
    <w:uiPriority w:val="99"/>
    <w:rsid w:val="006357C5"/>
    <w:pPr>
      <w:numPr>
        <w:numId w:val="5"/>
      </w:numPr>
      <w:spacing w:line="360" w:lineRule="auto"/>
    </w:pPr>
    <w:rPr>
      <w:rFonts w:ascii="Times New Roman" w:hAnsi="Times New Roman" w:cs="Times New Roman"/>
      <w:b/>
      <w:sz w:val="24"/>
      <w:szCs w:val="24"/>
    </w:rPr>
  </w:style>
  <w:style w:type="paragraph" w:customStyle="1" w:styleId="Style2">
    <w:name w:val="Style2"/>
    <w:basedOn w:val="ListParagraph"/>
    <w:uiPriority w:val="99"/>
    <w:rsid w:val="006357C5"/>
    <w:pPr>
      <w:numPr>
        <w:ilvl w:val="1"/>
        <w:numId w:val="5"/>
      </w:numPr>
      <w:spacing w:line="360" w:lineRule="auto"/>
    </w:pPr>
    <w:rPr>
      <w:rFonts w:ascii="Times New Roman" w:hAnsi="Times New Roman" w:cs="Times New Roman"/>
      <w:i/>
      <w:sz w:val="24"/>
      <w:szCs w:val="24"/>
    </w:rPr>
  </w:style>
  <w:style w:type="paragraph" w:customStyle="1" w:styleId="Style3">
    <w:name w:val="Style3"/>
    <w:basedOn w:val="ListParagraph"/>
    <w:uiPriority w:val="99"/>
    <w:rsid w:val="006357C5"/>
    <w:pPr>
      <w:numPr>
        <w:ilvl w:val="2"/>
        <w:numId w:val="5"/>
      </w:numPr>
      <w:spacing w:line="360" w:lineRule="auto"/>
    </w:pPr>
    <w:rPr>
      <w:rFonts w:ascii="Times New Roman" w:hAnsi="Times New Roman" w:cs="Times New Roman"/>
      <w:sz w:val="24"/>
      <w:szCs w:val="24"/>
    </w:rPr>
  </w:style>
  <w:style w:type="table" w:styleId="MediumGrid1-Accent1">
    <w:name w:val="Medium Grid 1 Accent 1"/>
    <w:basedOn w:val="TableNormal"/>
    <w:uiPriority w:val="99"/>
    <w:rsid w:val="006357C5"/>
    <w:pPr>
      <w:spacing w:line="240" w:lineRule="auto"/>
    </w:pPr>
    <w:rPr>
      <w:rFonts w:ascii="Calibri" w:eastAsia="Calibri" w:hAnsi="Calibri" w:cs="Times New Roman"/>
      <w:sz w:val="24"/>
      <w:szCs w:val="24"/>
      <w:lang w:val="es-ES" w:eastAsia="es-E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LightList-Accent11">
    <w:name w:val="Light List - Accent 11"/>
    <w:uiPriority w:val="99"/>
    <w:rsid w:val="006357C5"/>
    <w:pPr>
      <w:spacing w:line="240" w:lineRule="auto"/>
    </w:pPr>
    <w:rPr>
      <w:rFonts w:ascii="Calibri" w:eastAsia="Calibri" w:hAnsi="Calibri"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MediumGrid3-Accent1">
    <w:name w:val="Medium Grid 3 Accent 1"/>
    <w:basedOn w:val="TableNormal"/>
    <w:uiPriority w:val="99"/>
    <w:rsid w:val="006357C5"/>
    <w:pPr>
      <w:spacing w:line="240" w:lineRule="auto"/>
    </w:pPr>
    <w:rPr>
      <w:rFonts w:ascii="Calibri" w:eastAsia="Calibri" w:hAnsi="Calibri" w:cs="Times New Roman"/>
      <w:sz w:val="20"/>
      <w:szCs w:val="20"/>
      <w:lang w:val="es-ES" w:eastAsia="es-E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itle1">
    <w:name w:val="Title1"/>
    <w:basedOn w:val="Normal"/>
    <w:next w:val="Normal"/>
    <w:uiPriority w:val="99"/>
    <w:rsid w:val="006357C5"/>
    <w:pPr>
      <w:pBdr>
        <w:bottom w:val="single" w:sz="8" w:space="4" w:color="4F81BD"/>
      </w:pBdr>
      <w:spacing w:after="300" w:line="240" w:lineRule="auto"/>
      <w:contextualSpacing/>
    </w:pPr>
    <w:rPr>
      <w:rFonts w:ascii="Calibri" w:eastAsia="Times New Roman" w:hAnsi="Calibri" w:cs="Times New Roman"/>
      <w:color w:val="183A63"/>
      <w:spacing w:val="5"/>
      <w:kern w:val="28"/>
      <w:sz w:val="52"/>
      <w:szCs w:val="52"/>
    </w:rPr>
  </w:style>
  <w:style w:type="character" w:customStyle="1" w:styleId="TitleChar">
    <w:name w:val="Title Char"/>
    <w:uiPriority w:val="99"/>
    <w:locked/>
    <w:rsid w:val="006357C5"/>
    <w:rPr>
      <w:rFonts w:ascii="Calibri" w:hAnsi="Calibri" w:cs="Times New Roman"/>
      <w:color w:val="183A63"/>
      <w:spacing w:val="5"/>
      <w:kern w:val="28"/>
      <w:sz w:val="52"/>
      <w:szCs w:val="52"/>
    </w:rPr>
  </w:style>
  <w:style w:type="character" w:styleId="PageNumber">
    <w:name w:val="page number"/>
    <w:basedOn w:val="DefaultParagraphFont"/>
    <w:uiPriority w:val="99"/>
    <w:rsid w:val="006357C5"/>
    <w:rPr>
      <w:rFonts w:cs="Times New Roman"/>
    </w:rPr>
  </w:style>
  <w:style w:type="table" w:customStyle="1" w:styleId="LightList-Accent111">
    <w:name w:val="Light List - Accent 111"/>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libri" w:eastAsia="Times New Roman"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libri" w:eastAsia="Times New Roman"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reftext">
    <w:name w:val="reftext"/>
    <w:basedOn w:val="DefaultParagraphFont"/>
    <w:uiPriority w:val="99"/>
    <w:rsid w:val="006357C5"/>
    <w:rPr>
      <w:rFonts w:cs="Times New Roman"/>
    </w:rPr>
  </w:style>
  <w:style w:type="paragraph" w:styleId="Title">
    <w:name w:val="Title"/>
    <w:basedOn w:val="Normal"/>
    <w:next w:val="Normal"/>
    <w:link w:val="TitleChar1"/>
    <w:uiPriority w:val="99"/>
    <w:qFormat/>
    <w:rsid w:val="006357C5"/>
    <w:pPr>
      <w:pBdr>
        <w:bottom w:val="single" w:sz="8" w:space="4" w:color="4F81BD"/>
      </w:pBdr>
      <w:spacing w:after="300" w:line="240" w:lineRule="auto"/>
      <w:contextualSpacing/>
    </w:pPr>
    <w:rPr>
      <w:rFonts w:ascii="Calibri" w:eastAsia="Times New Roman" w:hAnsi="Calibri" w:cs="Times New Roman"/>
      <w:color w:val="183A63"/>
      <w:spacing w:val="5"/>
      <w:kern w:val="28"/>
      <w:sz w:val="52"/>
      <w:szCs w:val="52"/>
    </w:rPr>
  </w:style>
  <w:style w:type="character" w:customStyle="1" w:styleId="TitleChar1">
    <w:name w:val="Title Char1"/>
    <w:basedOn w:val="DefaultParagraphFont"/>
    <w:link w:val="Title"/>
    <w:uiPriority w:val="99"/>
    <w:rsid w:val="006357C5"/>
    <w:rPr>
      <w:rFonts w:ascii="Calibri" w:eastAsia="Times New Roman" w:hAnsi="Calibri" w:cs="Times New Roman"/>
      <w:color w:val="183A63"/>
      <w:spacing w:val="5"/>
      <w:kern w:val="28"/>
      <w:sz w:val="52"/>
      <w:szCs w:val="52"/>
    </w:rPr>
  </w:style>
  <w:style w:type="table" w:customStyle="1" w:styleId="LightList-Accent112">
    <w:name w:val="Light List - Accent 112"/>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2">
    <w:name w:val="Light Grid - Accent 112"/>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libri" w:eastAsia="Times New Roman"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libri" w:eastAsia="Times New Roman"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ableGrid1">
    <w:name w:val="Table Grid1"/>
    <w:uiPriority w:val="99"/>
    <w:rsid w:val="006357C5"/>
    <w:pPr>
      <w:spacing w:line="240" w:lineRule="auto"/>
    </w:pPr>
    <w:rPr>
      <w:rFonts w:ascii="Times New Roman" w:eastAsia="Times New Roman" w:hAnsi="Times New Roman"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6357C5"/>
    <w:pPr>
      <w:spacing w:line="240" w:lineRule="auto"/>
    </w:pPr>
    <w:rPr>
      <w:rFonts w:ascii="Times New Roman" w:eastAsia="Times New Roman" w:hAnsi="Times New Roman"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113">
    <w:name w:val="Light List - Accent 113"/>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3">
    <w:name w:val="Light Grid - Accent 113"/>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libri" w:eastAsia="Times New Roman"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libri" w:eastAsia="Times New Roman"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DocumentMap">
    <w:name w:val="Document Map"/>
    <w:basedOn w:val="Normal"/>
    <w:link w:val="DocumentMapChar"/>
    <w:uiPriority w:val="99"/>
    <w:semiHidden/>
    <w:rsid w:val="006357C5"/>
    <w:pPr>
      <w:spacing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uiPriority w:val="99"/>
    <w:semiHidden/>
    <w:rsid w:val="006357C5"/>
    <w:rPr>
      <w:rFonts w:ascii="Tahoma" w:eastAsia="Times New Roman" w:hAnsi="Tahoma" w:cs="Tahoma"/>
      <w:sz w:val="16"/>
      <w:szCs w:val="16"/>
    </w:rPr>
  </w:style>
  <w:style w:type="character" w:styleId="IntenseEmphasis">
    <w:name w:val="Intense Emphasis"/>
    <w:basedOn w:val="DefaultParagraphFont"/>
    <w:uiPriority w:val="99"/>
    <w:qFormat/>
    <w:rsid w:val="006357C5"/>
    <w:rPr>
      <w:rFonts w:cs="Times New Roman"/>
      <w:b/>
      <w:bCs/>
      <w:i/>
      <w:iCs/>
      <w:color w:val="4F81BD"/>
    </w:rPr>
  </w:style>
  <w:style w:type="paragraph" w:styleId="Subtitle">
    <w:name w:val="Subtitle"/>
    <w:basedOn w:val="Normal"/>
    <w:next w:val="Normal"/>
    <w:link w:val="SubtitleChar"/>
    <w:uiPriority w:val="99"/>
    <w:qFormat/>
    <w:rsid w:val="006357C5"/>
    <w:pPr>
      <w:numPr>
        <w:ilvl w:val="1"/>
      </w:numPr>
      <w:spacing w:after="200"/>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99"/>
    <w:rsid w:val="006357C5"/>
    <w:rPr>
      <w:rFonts w:ascii="Cambria" w:eastAsia="Times New Roman" w:hAnsi="Cambria" w:cs="Times New Roman"/>
      <w:i/>
      <w:iCs/>
      <w:color w:val="4F81BD"/>
      <w:spacing w:val="15"/>
      <w:sz w:val="24"/>
      <w:szCs w:val="24"/>
    </w:rPr>
  </w:style>
  <w:style w:type="table" w:customStyle="1" w:styleId="LightGrid-Accent114">
    <w:name w:val="Light Grid - Accent 114"/>
    <w:uiPriority w:val="99"/>
    <w:rsid w:val="006357C5"/>
    <w:pPr>
      <w:spacing w:line="240" w:lineRule="auto"/>
    </w:pPr>
    <w:rPr>
      <w:rFonts w:ascii="Calibri" w:eastAsia="Calibri" w:hAnsi="Calibri" w:cs="Times New Roman"/>
      <w:sz w:val="20"/>
      <w:szCs w:val="20"/>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4">
    <w:name w:val="Light List - Accent 114"/>
    <w:uiPriority w:val="99"/>
    <w:rsid w:val="006357C5"/>
    <w:pPr>
      <w:spacing w:line="240" w:lineRule="auto"/>
    </w:pPr>
    <w:rPr>
      <w:rFonts w:ascii="Calibri" w:eastAsia="Calibri" w:hAnsi="Calibri"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111">
    <w:name w:val="Light List - Accent 1111"/>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1">
    <w:name w:val="Light Grid - Accent 1111"/>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libri" w:eastAsia="Times New Roman"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libri" w:eastAsia="Times New Roman"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21">
    <w:name w:val="Light List - Accent 1121"/>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21">
    <w:name w:val="Light Grid - Accent 1121"/>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libri" w:eastAsia="Times New Roman"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libri" w:eastAsia="Times New Roman"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31">
    <w:name w:val="Light List - Accent 1131"/>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31">
    <w:name w:val="Light Grid - Accent 1131"/>
    <w:uiPriority w:val="99"/>
    <w:rsid w:val="006357C5"/>
    <w:pPr>
      <w:spacing w:line="240" w:lineRule="auto"/>
    </w:pPr>
    <w:rPr>
      <w:rFonts w:ascii="Cambria" w:eastAsia="Calibri" w:hAnsi="Cambria" w:cs="Times New Roman"/>
      <w:sz w:val="24"/>
      <w:szCs w:val="24"/>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libri" w:eastAsia="Times New Roman"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libri" w:eastAsia="Times New Roman"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TableofFigures">
    <w:name w:val="table of figures"/>
    <w:basedOn w:val="Normal"/>
    <w:next w:val="Normal"/>
    <w:uiPriority w:val="99"/>
    <w:rsid w:val="006357C5"/>
  </w:style>
  <w:style w:type="table" w:customStyle="1" w:styleId="LightList-Accent12">
    <w:name w:val="Light List - Accent 12"/>
    <w:uiPriority w:val="99"/>
    <w:rsid w:val="006357C5"/>
    <w:pPr>
      <w:spacing w:line="240" w:lineRule="auto"/>
    </w:pPr>
    <w:rPr>
      <w:rFonts w:ascii="Calibri" w:eastAsia="Calibri" w:hAnsi="Calibri" w:cs="Times New Roman"/>
      <w:sz w:val="20"/>
      <w:szCs w:val="20"/>
      <w:lang w:val="en-GB"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http://www.tec.govt.nz" TargetMode="External"/><Relationship Id="rId20" Type="http://schemas.openxmlformats.org/officeDocument/2006/relationships/image" Target="media/image6.png"/><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ecd.org/dataoecd/5/5/44124839.pdf" TargetMode="External"/><Relationship Id="rId24" Type="http://schemas.openxmlformats.org/officeDocument/2006/relationships/hyperlink" Target="http://www.nsfas.org.za/profile-statistics.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customXml" Target="../customXml/item2.xml"/><Relationship Id="rId10" Type="http://schemas.openxmlformats.org/officeDocument/2006/relationships/image" Target="media/image1.png"/><Relationship Id="rId19" Type="http://schemas.openxmlformats.org/officeDocument/2006/relationships/hyperlink" Target="http://www.tec.govt.nz" TargetMode="Externa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yperlink" Target="http://stats.oecd.org" TargetMode="External"/><Relationship Id="rId22" Type="http://schemas.openxmlformats.org/officeDocument/2006/relationships/image" Target="media/image8.png"/><Relationship Id="rId27" Type="http://schemas.openxmlformats.org/officeDocument/2006/relationships/theme" Target="theme/theme1.xml"/><Relationship Id="rId30"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8" Type="http://schemas.openxmlformats.org/officeDocument/2006/relationships/hyperlink" Target="http://www.uj.ac.za/EN/StudyatUJ/StudentFinance/NationalFinancialAidScheme/Documents/NSFAS%20Rules.pdf" TargetMode="External"/><Relationship Id="rId3" Type="http://schemas.openxmlformats.org/officeDocument/2006/relationships/hyperlink" Target="http://www.tec.govt.nz" TargetMode="External"/><Relationship Id="rId7" Type="http://schemas.openxmlformats.org/officeDocument/2006/relationships/hyperlink" Target="http://studentportal.ufs.ac.za/documents/13/financial_aid/2012_Nsfas_Loans_Important_Information.pdf" TargetMode="External"/><Relationship Id="rId2" Type="http://schemas.openxmlformats.org/officeDocument/2006/relationships/hyperlink" Target="http://www.oag.govt.nz" TargetMode="External"/><Relationship Id="rId1" Type="http://schemas.openxmlformats.org/officeDocument/2006/relationships/hyperlink" Target="http://www.oecd.org/document/29/0,3746,en_33873108_33873658_45147741_1_1_1_1,00.html" TargetMode="External"/><Relationship Id="rId6" Type="http://schemas.openxmlformats.org/officeDocument/2006/relationships/hyperlink" Target="http://web.up.ac.za/sitefiles/file/Fees-2011/estimated_tuition_fees_for_2011.pdf" TargetMode="External"/><Relationship Id="rId5" Type="http://schemas.openxmlformats.org/officeDocument/2006/relationships/hyperlink" Target="http://www.uct.ac.za/usr/finance/fees/fees2012.pdf" TargetMode="External"/><Relationship Id="rId10" Type="http://schemas.openxmlformats.org/officeDocument/2006/relationships/hyperlink" Target="http://www.cepd.org.za/files/pictures/NSFAS%20Report.pdf" TargetMode="External"/><Relationship Id="rId4" Type="http://schemas.openxmlformats.org/officeDocument/2006/relationships/hyperlink" Target="http://stats.oecd.org" TargetMode="External"/><Relationship Id="rId9" Type="http://schemas.openxmlformats.org/officeDocument/2006/relationships/hyperlink" Target="http://www.nsfas.org.za/loan.ht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Macintosh%20HD:Users:mariaretana:Downloads:962010071P1G015%20(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7.4939461835564533E-2"/>
          <c:y val="5.3845320273303625E-2"/>
          <c:w val="0.90121229968203242"/>
          <c:h val="0.66590051578673304"/>
        </c:manualLayout>
      </c:layout>
      <c:barChart>
        <c:barDir val="col"/>
        <c:grouping val="stacked"/>
        <c:varyColors val="0"/>
        <c:ser>
          <c:idx val="0"/>
          <c:order val="0"/>
          <c:tx>
            <c:strRef>
              <c:f>Sheet1!$B$1</c:f>
              <c:strCache>
                <c:ptCount val="1"/>
                <c:pt idx="0">
                  <c:v>Scholarships/other grants to households</c:v>
                </c:pt>
              </c:strCache>
            </c:strRef>
          </c:tx>
          <c:invertIfNegative val="0"/>
          <c:cat>
            <c:strRef>
              <c:f>Sheet1!$A$2:$A$29</c:f>
              <c:strCache>
                <c:ptCount val="28"/>
                <c:pt idx="0">
                  <c:v>Chile</c:v>
                </c:pt>
                <c:pt idx="1">
                  <c:v>Norway</c:v>
                </c:pt>
                <c:pt idx="2">
                  <c:v>New Zealand</c:v>
                </c:pt>
                <c:pt idx="3">
                  <c:v>Australia</c:v>
                </c:pt>
                <c:pt idx="4">
                  <c:v>United Kingdom</c:v>
                </c:pt>
                <c:pt idx="5">
                  <c:v>Denmark</c:v>
                </c:pt>
                <c:pt idx="6">
                  <c:v>Netherlands</c:v>
                </c:pt>
                <c:pt idx="7">
                  <c:v>Japan</c:v>
                </c:pt>
                <c:pt idx="8">
                  <c:v>Sweden</c:v>
                </c:pt>
                <c:pt idx="9">
                  <c:v>Iceland</c:v>
                </c:pt>
                <c:pt idx="10">
                  <c:v>Germany</c:v>
                </c:pt>
                <c:pt idx="11">
                  <c:v>United States</c:v>
                </c:pt>
                <c:pt idx="12">
                  <c:v>Italy</c:v>
                </c:pt>
                <c:pt idx="13">
                  <c:v>Slovak Republic</c:v>
                </c:pt>
                <c:pt idx="14">
                  <c:v>Austria</c:v>
                </c:pt>
                <c:pt idx="15">
                  <c:v>Canada</c:v>
                </c:pt>
                <c:pt idx="16">
                  <c:v>Finland</c:v>
                </c:pt>
                <c:pt idx="17">
                  <c:v>Hungary</c:v>
                </c:pt>
                <c:pt idx="18">
                  <c:v>Belgium</c:v>
                </c:pt>
                <c:pt idx="19">
                  <c:v>Ireland</c:v>
                </c:pt>
                <c:pt idx="20">
                  <c:v>Portugal</c:v>
                </c:pt>
                <c:pt idx="21">
                  <c:v>Korea</c:v>
                </c:pt>
                <c:pt idx="22">
                  <c:v>Spain</c:v>
                </c:pt>
                <c:pt idx="23">
                  <c:v>France</c:v>
                </c:pt>
                <c:pt idx="24">
                  <c:v>Mexico</c:v>
                </c:pt>
                <c:pt idx="25">
                  <c:v>Czech Republic</c:v>
                </c:pt>
                <c:pt idx="26">
                  <c:v>Switzerland</c:v>
                </c:pt>
                <c:pt idx="27">
                  <c:v>Poland</c:v>
                </c:pt>
              </c:strCache>
            </c:strRef>
          </c:cat>
          <c:val>
            <c:numRef>
              <c:f>Sheet1!$B$2:$B$29</c:f>
              <c:numCache>
                <c:formatCode>0.0</c:formatCode>
                <c:ptCount val="28"/>
                <c:pt idx="0">
                  <c:v>27.143870696930531</c:v>
                </c:pt>
                <c:pt idx="1">
                  <c:v>16.675159495322188</c:v>
                </c:pt>
                <c:pt idx="2">
                  <c:v>11.584041075723604</c:v>
                </c:pt>
                <c:pt idx="3">
                  <c:v>11.2039485281156</c:v>
                </c:pt>
                <c:pt idx="4">
                  <c:v>7.3958807110590756</c:v>
                </c:pt>
                <c:pt idx="5">
                  <c:v>23.609988890804935</c:v>
                </c:pt>
                <c:pt idx="6">
                  <c:v>8.9058772586375028</c:v>
                </c:pt>
                <c:pt idx="7">
                  <c:v>0.62532083177083264</c:v>
                </c:pt>
                <c:pt idx="8">
                  <c:v>10.105842584554004</c:v>
                </c:pt>
                <c:pt idx="9">
                  <c:v>0</c:v>
                </c:pt>
                <c:pt idx="10">
                  <c:v>16.965803404883587</c:v>
                </c:pt>
                <c:pt idx="11">
                  <c:v>14.835997789398499</c:v>
                </c:pt>
                <c:pt idx="12">
                  <c:v>19.588465530852186</c:v>
                </c:pt>
                <c:pt idx="13">
                  <c:v>16.351649779607587</c:v>
                </c:pt>
                <c:pt idx="14">
                  <c:v>16.232760439812601</c:v>
                </c:pt>
                <c:pt idx="15">
                  <c:v>3.3106887146947126</c:v>
                </c:pt>
                <c:pt idx="16">
                  <c:v>15.335988259845724</c:v>
                </c:pt>
                <c:pt idx="17">
                  <c:v>15.104383014194099</c:v>
                </c:pt>
                <c:pt idx="18">
                  <c:v>14.242646322220304</c:v>
                </c:pt>
                <c:pt idx="19">
                  <c:v>13.908442056942826</c:v>
                </c:pt>
                <c:pt idx="20">
                  <c:v>11.207002129653798</c:v>
                </c:pt>
                <c:pt idx="21">
                  <c:v>4.4314288253704524</c:v>
                </c:pt>
                <c:pt idx="22">
                  <c:v>8.8385784715533919</c:v>
                </c:pt>
                <c:pt idx="23">
                  <c:v>7.0334957054582024</c:v>
                </c:pt>
                <c:pt idx="24">
                  <c:v>4.1723335257733014</c:v>
                </c:pt>
                <c:pt idx="25">
                  <c:v>4.21506716228774</c:v>
                </c:pt>
                <c:pt idx="26">
                  <c:v>2.4023788072439798</c:v>
                </c:pt>
                <c:pt idx="27">
                  <c:v>1.5268009062537453</c:v>
                </c:pt>
              </c:numCache>
            </c:numRef>
          </c:val>
        </c:ser>
        <c:ser>
          <c:idx val="1"/>
          <c:order val="1"/>
          <c:tx>
            <c:strRef>
              <c:f>Sheet1!$C$1</c:f>
              <c:strCache>
                <c:ptCount val="1"/>
                <c:pt idx="0">
                  <c:v>Student loans</c:v>
                </c:pt>
              </c:strCache>
            </c:strRef>
          </c:tx>
          <c:invertIfNegative val="0"/>
          <c:cat>
            <c:strRef>
              <c:f>Sheet1!$A$2:$A$29</c:f>
              <c:strCache>
                <c:ptCount val="28"/>
                <c:pt idx="0">
                  <c:v>Chile</c:v>
                </c:pt>
                <c:pt idx="1">
                  <c:v>Norway</c:v>
                </c:pt>
                <c:pt idx="2">
                  <c:v>New Zealand</c:v>
                </c:pt>
                <c:pt idx="3">
                  <c:v>Australia</c:v>
                </c:pt>
                <c:pt idx="4">
                  <c:v>United Kingdom</c:v>
                </c:pt>
                <c:pt idx="5">
                  <c:v>Denmark</c:v>
                </c:pt>
                <c:pt idx="6">
                  <c:v>Netherlands</c:v>
                </c:pt>
                <c:pt idx="7">
                  <c:v>Japan</c:v>
                </c:pt>
                <c:pt idx="8">
                  <c:v>Sweden</c:v>
                </c:pt>
                <c:pt idx="9">
                  <c:v>Iceland</c:v>
                </c:pt>
                <c:pt idx="10">
                  <c:v>Germany</c:v>
                </c:pt>
                <c:pt idx="11">
                  <c:v>United States</c:v>
                </c:pt>
                <c:pt idx="12">
                  <c:v>Italy</c:v>
                </c:pt>
                <c:pt idx="13">
                  <c:v>Slovak Republic</c:v>
                </c:pt>
                <c:pt idx="14">
                  <c:v>Austria</c:v>
                </c:pt>
                <c:pt idx="15">
                  <c:v>Canada</c:v>
                </c:pt>
                <c:pt idx="16">
                  <c:v>Finland</c:v>
                </c:pt>
                <c:pt idx="17">
                  <c:v>Hungary</c:v>
                </c:pt>
                <c:pt idx="18">
                  <c:v>Belgium</c:v>
                </c:pt>
                <c:pt idx="19">
                  <c:v>Ireland</c:v>
                </c:pt>
                <c:pt idx="20">
                  <c:v>Portugal</c:v>
                </c:pt>
                <c:pt idx="21">
                  <c:v>Korea</c:v>
                </c:pt>
                <c:pt idx="22">
                  <c:v>Spain</c:v>
                </c:pt>
                <c:pt idx="23">
                  <c:v>France</c:v>
                </c:pt>
                <c:pt idx="24">
                  <c:v>Mexico</c:v>
                </c:pt>
                <c:pt idx="25">
                  <c:v>Czech Republic</c:v>
                </c:pt>
                <c:pt idx="26">
                  <c:v>Switzerland</c:v>
                </c:pt>
                <c:pt idx="27">
                  <c:v>Poland</c:v>
                </c:pt>
              </c:strCache>
            </c:strRef>
          </c:cat>
          <c:val>
            <c:numRef>
              <c:f>Sheet1!$C$2:$C$29</c:f>
              <c:numCache>
                <c:formatCode>0.0</c:formatCode>
                <c:ptCount val="28"/>
                <c:pt idx="0">
                  <c:v>24.0121696237082</c:v>
                </c:pt>
                <c:pt idx="1">
                  <c:v>27.1396832514625</c:v>
                </c:pt>
                <c:pt idx="2">
                  <c:v>27.979441971398089</c:v>
                </c:pt>
                <c:pt idx="3">
                  <c:v>20.575533227568489</c:v>
                </c:pt>
                <c:pt idx="4">
                  <c:v>23.44020055035082</c:v>
                </c:pt>
                <c:pt idx="5">
                  <c:v>4.3865431018214904</c:v>
                </c:pt>
                <c:pt idx="6">
                  <c:v>17.911220866390799</c:v>
                </c:pt>
                <c:pt idx="7">
                  <c:v>23.932813970001586</c:v>
                </c:pt>
                <c:pt idx="8">
                  <c:v>13.659789053697176</c:v>
                </c:pt>
                <c:pt idx="9">
                  <c:v>22.454108583876799</c:v>
                </c:pt>
                <c:pt idx="10">
                  <c:v>4.9637500843932134</c:v>
                </c:pt>
                <c:pt idx="11">
                  <c:v>6.6318379737459745</c:v>
                </c:pt>
                <c:pt idx="12">
                  <c:v>0</c:v>
                </c:pt>
                <c:pt idx="13">
                  <c:v>1.2586746365834198</c:v>
                </c:pt>
                <c:pt idx="14">
                  <c:v>0</c:v>
                </c:pt>
                <c:pt idx="15">
                  <c:v>12.2295640247336</c:v>
                </c:pt>
                <c:pt idx="16">
                  <c:v>0</c:v>
                </c:pt>
                <c:pt idx="17">
                  <c:v>0</c:v>
                </c:pt>
                <c:pt idx="18" formatCode="0">
                  <c:v>0</c:v>
                </c:pt>
                <c:pt idx="19">
                  <c:v>0</c:v>
                </c:pt>
                <c:pt idx="20">
                  <c:v>0</c:v>
                </c:pt>
                <c:pt idx="21">
                  <c:v>5.6674232370411755</c:v>
                </c:pt>
                <c:pt idx="22">
                  <c:v>0</c:v>
                </c:pt>
                <c:pt idx="23">
                  <c:v>0</c:v>
                </c:pt>
                <c:pt idx="24">
                  <c:v>2.3791014233659067</c:v>
                </c:pt>
                <c:pt idx="25">
                  <c:v>0</c:v>
                </c:pt>
                <c:pt idx="26">
                  <c:v>0.18567698693728021</c:v>
                </c:pt>
                <c:pt idx="27">
                  <c:v>0</c:v>
                </c:pt>
              </c:numCache>
            </c:numRef>
          </c:val>
        </c:ser>
        <c:dLbls>
          <c:showLegendKey val="0"/>
          <c:showVal val="0"/>
          <c:showCatName val="0"/>
          <c:showSerName val="0"/>
          <c:showPercent val="0"/>
          <c:showBubbleSize val="0"/>
        </c:dLbls>
        <c:gapWidth val="150"/>
        <c:overlap val="100"/>
        <c:axId val="337473920"/>
        <c:axId val="337475456"/>
      </c:barChart>
      <c:catAx>
        <c:axId val="337473920"/>
        <c:scaling>
          <c:orientation val="minMax"/>
        </c:scaling>
        <c:delete val="0"/>
        <c:axPos val="b"/>
        <c:majorTickMark val="out"/>
        <c:minorTickMark val="none"/>
        <c:tickLblPos val="nextTo"/>
        <c:txPr>
          <a:bodyPr rot="-3360000"/>
          <a:lstStyle/>
          <a:p>
            <a:pPr>
              <a:defRPr lang="en-US"/>
            </a:pPr>
            <a:endParaRPr lang="en-US"/>
          </a:p>
        </c:txPr>
        <c:crossAx val="337475456"/>
        <c:crosses val="autoZero"/>
        <c:auto val="1"/>
        <c:lblAlgn val="ctr"/>
        <c:lblOffset val="100"/>
        <c:noMultiLvlLbl val="0"/>
      </c:catAx>
      <c:valAx>
        <c:axId val="337475456"/>
        <c:scaling>
          <c:orientation val="minMax"/>
        </c:scaling>
        <c:delete val="0"/>
        <c:axPos val="l"/>
        <c:numFmt formatCode="0.0" sourceLinked="1"/>
        <c:majorTickMark val="out"/>
        <c:minorTickMark val="none"/>
        <c:tickLblPos val="nextTo"/>
        <c:txPr>
          <a:bodyPr/>
          <a:lstStyle/>
          <a:p>
            <a:pPr>
              <a:defRPr lang="en-US"/>
            </a:pPr>
            <a:endParaRPr lang="en-US"/>
          </a:p>
        </c:txPr>
        <c:crossAx val="337473920"/>
        <c:crosses val="autoZero"/>
        <c:crossBetween val="between"/>
      </c:valAx>
    </c:plotArea>
    <c:legend>
      <c:legendPos val="t"/>
      <c:layout>
        <c:manualLayout>
          <c:xMode val="edge"/>
          <c:yMode val="edge"/>
          <c:x val="0.45488133495508182"/>
          <c:y val="0.28954423592494288"/>
          <c:w val="0.48048106181850553"/>
          <c:h val="0.10389000302576118"/>
        </c:manualLayout>
      </c:layout>
      <c:overlay val="0"/>
      <c:txPr>
        <a:bodyPr/>
        <a:lstStyle/>
        <a:p>
          <a:pPr>
            <a:defRPr lang="en-US"/>
          </a:pPr>
          <a:endParaRPr lang="en-US"/>
        </a:p>
      </c:txPr>
    </c:legend>
    <c:plotVisOnly val="1"/>
    <c:dispBlanksAs val="gap"/>
    <c:showDLblsOverMax val="0"/>
  </c:chart>
  <c:txPr>
    <a:bodyPr/>
    <a:lstStyle/>
    <a:p>
      <a:pPr>
        <a:defRPr>
          <a:latin typeface="Arial" pitchFamily="34" charset="0"/>
          <a:cs typeface="Arial"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58783F0-70FC-4321-A578-34737F4EF178}"/>
</file>

<file path=customXml/itemProps2.xml><?xml version="1.0" encoding="utf-8"?>
<ds:datastoreItem xmlns:ds="http://schemas.openxmlformats.org/officeDocument/2006/customXml" ds:itemID="{F27EEFE1-034B-4891-9326-2766AB8324DD}"/>
</file>

<file path=customXml/itemProps3.xml><?xml version="1.0" encoding="utf-8"?>
<ds:datastoreItem xmlns:ds="http://schemas.openxmlformats.org/officeDocument/2006/customXml" ds:itemID="{996B4BC7-2A11-4342-8162-148D1C06413C}"/>
</file>

<file path=customXml/itemProps4.xml><?xml version="1.0" encoding="utf-8"?>
<ds:datastoreItem xmlns:ds="http://schemas.openxmlformats.org/officeDocument/2006/customXml" ds:itemID="{13F9052C-264E-4A04-996D-1E6333811647}"/>
</file>

<file path=docProps/app.xml><?xml version="1.0" encoding="utf-8"?>
<Properties xmlns="http://schemas.openxmlformats.org/officeDocument/2006/extended-properties" xmlns:vt="http://schemas.openxmlformats.org/officeDocument/2006/docPropsVTypes">
  <Template>Normal.dotm</Template>
  <TotalTime>0</TotalTime>
  <Pages>69</Pages>
  <Words>22550</Words>
  <Characters>128541</Characters>
  <Application>Microsoft Office Word</Application>
  <DocSecurity>0</DocSecurity>
  <Lines>1071</Lines>
  <Paragraphs>301</Paragraphs>
  <ScaleCrop>false</ScaleCrop>
  <HeadingPairs>
    <vt:vector size="2" baseType="variant">
      <vt:variant>
        <vt:lpstr>Title</vt:lpstr>
      </vt:variant>
      <vt:variant>
        <vt:i4>1</vt:i4>
      </vt:variant>
    </vt:vector>
  </HeadingPairs>
  <TitlesOfParts>
    <vt:vector size="1" baseType="lpstr">
      <vt:lpstr/>
    </vt:vector>
  </TitlesOfParts>
  <Company>The World Bank Group</Company>
  <LinksUpToDate>false</LinksUpToDate>
  <CharactersWithSpaces>150790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Paulina Mogollon</dc:creator>
  <cp:lastModifiedBy>Sunita Kosaraju</cp:lastModifiedBy>
  <cp:revision>2</cp:revision>
  <dcterms:created xsi:type="dcterms:W3CDTF">2013-01-18T22:15:00Z</dcterms:created>
  <dcterms:modified xsi:type="dcterms:W3CDTF">2013-01-18T22:15:00Z</dcterms:modified>
</cp:coreProperties>
</file>